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B73409"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5854323B" w14:textId="2AE24070"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bookmarkStart w:id="1" w:name="_Hlk40560723"/>
      <w:r w:rsidR="00657CE7" w:rsidRPr="00657CE7">
        <w:rPr>
          <w:rFonts w:ascii="Times New Roman" w:hAnsi="Times New Roman"/>
          <w:szCs w:val="28"/>
          <w:lang w:val="en-GB"/>
        </w:rPr>
        <w:t>HR-RS290 – IPA PP3 – TD04</w:t>
      </w:r>
      <w:bookmarkEnd w:id="1"/>
    </w:p>
    <w:p w14:paraId="3117F00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7E601A46"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0337FC4A" w14:textId="77777777" w:rsidR="0047783A" w:rsidRPr="00E82463" w:rsidRDefault="0047783A" w:rsidP="00A4424B">
      <w:pPr>
        <w:pStyle w:val="Heading1"/>
      </w:pPr>
      <w:bookmarkStart w:id="2" w:name="_Toc42488070"/>
      <w:r w:rsidRPr="00E82463">
        <w:t>Supplies to be provided</w:t>
      </w:r>
      <w:bookmarkEnd w:id="2"/>
    </w:p>
    <w:p w14:paraId="15D645CD" w14:textId="060B4DEB"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t xml:space="preserve">The subject of the contract is the </w:t>
      </w:r>
      <w:bookmarkStart w:id="3" w:name="_Hlk40560710"/>
      <w:r w:rsidRPr="00B33ADD">
        <w:rPr>
          <w:rFonts w:ascii="Times New Roman" w:hAnsi="Times New Roman"/>
          <w:sz w:val="22"/>
          <w:lang w:val="en-GB"/>
        </w:rPr>
        <w:t>supply</w:t>
      </w:r>
      <w:r w:rsidR="00DA4D57" w:rsidRPr="00B33ADD">
        <w:rPr>
          <w:rFonts w:ascii="Times New Roman" w:hAnsi="Times New Roman"/>
          <w:sz w:val="22"/>
          <w:lang w:val="en-GB"/>
        </w:rPr>
        <w:t>,</w:t>
      </w:r>
      <w:r w:rsidRPr="00B33ADD">
        <w:rPr>
          <w:rFonts w:ascii="Times New Roman" w:hAnsi="Times New Roman"/>
          <w:sz w:val="22"/>
          <w:lang w:val="en-GB"/>
        </w:rPr>
        <w:t xml:space="preserve"> delivery</w:t>
      </w:r>
      <w:r w:rsidR="00B33ADD" w:rsidRPr="00B33ADD">
        <w:rPr>
          <w:rFonts w:ascii="Times New Roman" w:hAnsi="Times New Roman"/>
          <w:sz w:val="22"/>
          <w:lang w:val="en-GB"/>
        </w:rPr>
        <w:t>,</w:t>
      </w:r>
      <w:r w:rsidRPr="00B33ADD">
        <w:rPr>
          <w:rFonts w:ascii="Times New Roman" w:hAnsi="Times New Roman"/>
          <w:sz w:val="22"/>
          <w:lang w:val="en-GB"/>
        </w:rPr>
        <w:t xml:space="preserve"> unloading</w:t>
      </w:r>
      <w:r w:rsidR="007D62E5">
        <w:rPr>
          <w:rFonts w:ascii="Times New Roman" w:hAnsi="Times New Roman"/>
          <w:sz w:val="22"/>
          <w:lang w:val="en-GB"/>
        </w:rPr>
        <w:t xml:space="preserve"> and</w:t>
      </w:r>
      <w:r w:rsidRPr="00B33ADD">
        <w:rPr>
          <w:rFonts w:ascii="Times New Roman" w:hAnsi="Times New Roman"/>
          <w:sz w:val="22"/>
          <w:lang w:val="en-GB"/>
        </w:rPr>
        <w:t xml:space="preserve"> installation</w:t>
      </w:r>
      <w:bookmarkEnd w:id="3"/>
      <w:r w:rsidRPr="00B33ADD">
        <w:rPr>
          <w:rFonts w:ascii="Times New Roman" w:hAnsi="Times New Roman"/>
          <w:sz w:val="22"/>
          <w:lang w:val="en-GB"/>
        </w:rPr>
        <w:t xml:space="preserve"> by the</w:t>
      </w:r>
      <w:r w:rsidRPr="00E82463">
        <w:rPr>
          <w:rFonts w:ascii="Times New Roman" w:hAnsi="Times New Roman"/>
          <w:sz w:val="22"/>
          <w:lang w:val="en-GB"/>
        </w:rPr>
        <w:t xml:space="preserve"> </w:t>
      </w:r>
      <w:r w:rsidR="00A8413B">
        <w:rPr>
          <w:rFonts w:ascii="Times New Roman" w:hAnsi="Times New Roman"/>
          <w:sz w:val="22"/>
          <w:lang w:val="en-GB"/>
        </w:rPr>
        <w:t>c</w:t>
      </w:r>
      <w:r w:rsidRPr="00E82463">
        <w:rPr>
          <w:rFonts w:ascii="Times New Roman" w:hAnsi="Times New Roman"/>
          <w:sz w:val="22"/>
          <w:lang w:val="en-GB"/>
        </w:rPr>
        <w:t>ontractor of the following goods:</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4613"/>
        <w:gridCol w:w="2369"/>
      </w:tblGrid>
      <w:tr w:rsidR="002D3485" w14:paraId="40EEE630" w14:textId="77777777" w:rsidTr="00E07F05">
        <w:tc>
          <w:tcPr>
            <w:tcW w:w="1057" w:type="dxa"/>
            <w:shd w:val="clear" w:color="auto" w:fill="BFBFBF"/>
          </w:tcPr>
          <w:p w14:paraId="3204CC65" w14:textId="77777777" w:rsidR="00891AAB" w:rsidRPr="002D3485" w:rsidRDefault="00891AAB" w:rsidP="002D3485">
            <w:pPr>
              <w:jc w:val="center"/>
              <w:rPr>
                <w:rFonts w:ascii="Times New Roman" w:hAnsi="Times New Roman"/>
                <w:b/>
                <w:sz w:val="22"/>
              </w:rPr>
            </w:pPr>
            <w:bookmarkStart w:id="4" w:name="_Hlk40561126"/>
            <w:r w:rsidRPr="002D3485">
              <w:rPr>
                <w:rFonts w:ascii="Times New Roman" w:hAnsi="Times New Roman"/>
                <w:b/>
                <w:sz w:val="22"/>
              </w:rPr>
              <w:t>Item no.</w:t>
            </w:r>
          </w:p>
        </w:tc>
        <w:tc>
          <w:tcPr>
            <w:tcW w:w="4613" w:type="dxa"/>
            <w:shd w:val="clear" w:color="auto" w:fill="BFBFBF"/>
          </w:tcPr>
          <w:p w14:paraId="7D221C46" w14:textId="77777777" w:rsidR="00891AAB" w:rsidRPr="002D3485" w:rsidRDefault="00891AAB" w:rsidP="002D3485">
            <w:pPr>
              <w:jc w:val="center"/>
              <w:rPr>
                <w:rFonts w:ascii="Times New Roman" w:hAnsi="Times New Roman"/>
                <w:b/>
                <w:sz w:val="22"/>
              </w:rPr>
            </w:pPr>
            <w:r w:rsidRPr="002D3485">
              <w:rPr>
                <w:rFonts w:ascii="Times New Roman" w:hAnsi="Times New Roman"/>
                <w:b/>
                <w:sz w:val="22"/>
              </w:rPr>
              <w:t>Product specification</w:t>
            </w:r>
          </w:p>
        </w:tc>
        <w:tc>
          <w:tcPr>
            <w:tcW w:w="2369" w:type="dxa"/>
            <w:shd w:val="clear" w:color="auto" w:fill="BFBFBF"/>
          </w:tcPr>
          <w:p w14:paraId="20A3A49D" w14:textId="77777777" w:rsidR="00891AAB" w:rsidRPr="002D3485" w:rsidRDefault="00891AAB" w:rsidP="002D3485">
            <w:pPr>
              <w:jc w:val="center"/>
              <w:rPr>
                <w:rFonts w:ascii="Times New Roman" w:hAnsi="Times New Roman"/>
                <w:b/>
                <w:sz w:val="22"/>
              </w:rPr>
            </w:pPr>
            <w:r w:rsidRPr="002D3485">
              <w:rPr>
                <w:rFonts w:ascii="Times New Roman" w:hAnsi="Times New Roman"/>
                <w:b/>
                <w:sz w:val="22"/>
              </w:rPr>
              <w:t>Quantity</w:t>
            </w:r>
          </w:p>
        </w:tc>
      </w:tr>
      <w:tr w:rsidR="002D3485" w14:paraId="40CB7540" w14:textId="77777777" w:rsidTr="00E07F05">
        <w:tc>
          <w:tcPr>
            <w:tcW w:w="1057" w:type="dxa"/>
            <w:shd w:val="clear" w:color="auto" w:fill="auto"/>
            <w:vAlign w:val="center"/>
          </w:tcPr>
          <w:p w14:paraId="2801A066" w14:textId="77777777" w:rsidR="00891AAB" w:rsidRPr="002D3485" w:rsidRDefault="00891AAB" w:rsidP="00E07F05">
            <w:pPr>
              <w:spacing w:before="0" w:after="0"/>
              <w:jc w:val="center"/>
              <w:rPr>
                <w:rFonts w:ascii="Times New Roman" w:hAnsi="Times New Roman"/>
                <w:b/>
                <w:sz w:val="22"/>
              </w:rPr>
            </w:pPr>
            <w:r w:rsidRPr="002D3485">
              <w:rPr>
                <w:rFonts w:ascii="Times New Roman" w:hAnsi="Times New Roman"/>
                <w:b/>
                <w:sz w:val="22"/>
              </w:rPr>
              <w:t>1</w:t>
            </w:r>
          </w:p>
        </w:tc>
        <w:tc>
          <w:tcPr>
            <w:tcW w:w="4613" w:type="dxa"/>
            <w:shd w:val="clear" w:color="auto" w:fill="auto"/>
            <w:vAlign w:val="center"/>
          </w:tcPr>
          <w:p w14:paraId="61731E2D" w14:textId="2AFD3E3B" w:rsidR="00891AAB" w:rsidRPr="002D3485" w:rsidRDefault="002A7BD1" w:rsidP="00E07F05">
            <w:pPr>
              <w:spacing w:before="0" w:after="0"/>
              <w:rPr>
                <w:rFonts w:ascii="Times New Roman" w:hAnsi="Times New Roman"/>
                <w:b/>
                <w:sz w:val="22"/>
              </w:rPr>
            </w:pPr>
            <w:r w:rsidRPr="002A7BD1">
              <w:rPr>
                <w:rFonts w:ascii="Times New Roman" w:hAnsi="Times New Roman"/>
                <w:b/>
                <w:sz w:val="22"/>
              </w:rPr>
              <w:t>SOLAR FIELD</w:t>
            </w:r>
          </w:p>
        </w:tc>
        <w:tc>
          <w:tcPr>
            <w:tcW w:w="2369" w:type="dxa"/>
            <w:shd w:val="clear" w:color="auto" w:fill="auto"/>
            <w:vAlign w:val="center"/>
          </w:tcPr>
          <w:p w14:paraId="18599C3C" w14:textId="20913182" w:rsidR="00891AAB" w:rsidRPr="002A7BD1" w:rsidRDefault="002A7BD1" w:rsidP="00E07F05">
            <w:pPr>
              <w:spacing w:before="0" w:after="0"/>
              <w:jc w:val="center"/>
              <w:rPr>
                <w:rFonts w:ascii="Times New Roman" w:hAnsi="Times New Roman"/>
                <w:b/>
                <w:sz w:val="22"/>
                <w:lang w:val="sr-Cyrl-RS"/>
              </w:rPr>
            </w:pPr>
            <w:r>
              <w:rPr>
                <w:rFonts w:ascii="Times New Roman" w:hAnsi="Times New Roman"/>
                <w:b/>
                <w:sz w:val="22"/>
              </w:rPr>
              <w:t>1 System (387 pieces)</w:t>
            </w:r>
          </w:p>
        </w:tc>
      </w:tr>
      <w:tr w:rsidR="002D3485" w14:paraId="7DAFD4EC" w14:textId="77777777" w:rsidTr="00E07F05">
        <w:tc>
          <w:tcPr>
            <w:tcW w:w="1057" w:type="dxa"/>
            <w:shd w:val="clear" w:color="auto" w:fill="auto"/>
            <w:vAlign w:val="center"/>
          </w:tcPr>
          <w:p w14:paraId="585DEEB7" w14:textId="77777777" w:rsidR="00891AAB" w:rsidRPr="002D3485" w:rsidRDefault="00891AAB" w:rsidP="00E07F05">
            <w:pPr>
              <w:spacing w:before="0" w:after="0"/>
              <w:jc w:val="center"/>
              <w:rPr>
                <w:rFonts w:ascii="Times New Roman" w:hAnsi="Times New Roman"/>
                <w:b/>
                <w:sz w:val="22"/>
              </w:rPr>
            </w:pPr>
            <w:r w:rsidRPr="002D3485">
              <w:rPr>
                <w:rFonts w:ascii="Times New Roman" w:hAnsi="Times New Roman"/>
                <w:b/>
                <w:sz w:val="22"/>
              </w:rPr>
              <w:t>2</w:t>
            </w:r>
          </w:p>
        </w:tc>
        <w:tc>
          <w:tcPr>
            <w:tcW w:w="4613" w:type="dxa"/>
            <w:shd w:val="clear" w:color="auto" w:fill="auto"/>
            <w:vAlign w:val="center"/>
          </w:tcPr>
          <w:p w14:paraId="269BD3D9" w14:textId="69C262D8" w:rsidR="00891AAB" w:rsidRPr="002D3485" w:rsidRDefault="002A7BD1" w:rsidP="00E07F05">
            <w:pPr>
              <w:spacing w:before="0" w:after="0"/>
              <w:rPr>
                <w:rFonts w:ascii="Times New Roman" w:hAnsi="Times New Roman"/>
                <w:b/>
                <w:sz w:val="22"/>
              </w:rPr>
            </w:pPr>
            <w:r>
              <w:rPr>
                <w:rFonts w:ascii="Times New Roman" w:hAnsi="Times New Roman"/>
                <w:b/>
                <w:sz w:val="22"/>
              </w:rPr>
              <w:t>INVERTER</w:t>
            </w:r>
          </w:p>
        </w:tc>
        <w:tc>
          <w:tcPr>
            <w:tcW w:w="2369" w:type="dxa"/>
            <w:shd w:val="clear" w:color="auto" w:fill="auto"/>
            <w:vAlign w:val="center"/>
          </w:tcPr>
          <w:p w14:paraId="431AFEDA" w14:textId="376445F7" w:rsidR="00891AAB" w:rsidRPr="002D3485" w:rsidRDefault="002A7BD1" w:rsidP="00E07F05">
            <w:pPr>
              <w:spacing w:before="0" w:after="0"/>
              <w:jc w:val="center"/>
              <w:rPr>
                <w:rFonts w:ascii="Times New Roman" w:hAnsi="Times New Roman"/>
                <w:b/>
                <w:sz w:val="22"/>
              </w:rPr>
            </w:pPr>
            <w:r>
              <w:rPr>
                <w:rFonts w:ascii="Times New Roman" w:hAnsi="Times New Roman"/>
                <w:b/>
                <w:sz w:val="22"/>
              </w:rPr>
              <w:t>6 units</w:t>
            </w:r>
          </w:p>
        </w:tc>
      </w:tr>
      <w:tr w:rsidR="002D3485" w14:paraId="7CA59088" w14:textId="77777777" w:rsidTr="00E07F05">
        <w:tc>
          <w:tcPr>
            <w:tcW w:w="1057" w:type="dxa"/>
            <w:shd w:val="clear" w:color="auto" w:fill="auto"/>
            <w:vAlign w:val="center"/>
          </w:tcPr>
          <w:p w14:paraId="5D8858DE" w14:textId="77777777" w:rsidR="00891AAB" w:rsidRPr="002D3485" w:rsidRDefault="00891AAB" w:rsidP="00E07F05">
            <w:pPr>
              <w:spacing w:before="0" w:after="0"/>
              <w:jc w:val="center"/>
              <w:rPr>
                <w:rFonts w:ascii="Times New Roman" w:hAnsi="Times New Roman"/>
                <w:b/>
                <w:sz w:val="22"/>
              </w:rPr>
            </w:pPr>
            <w:r w:rsidRPr="002D3485">
              <w:rPr>
                <w:rFonts w:ascii="Times New Roman" w:hAnsi="Times New Roman"/>
                <w:b/>
                <w:sz w:val="22"/>
              </w:rPr>
              <w:t>3</w:t>
            </w:r>
          </w:p>
        </w:tc>
        <w:tc>
          <w:tcPr>
            <w:tcW w:w="4613" w:type="dxa"/>
            <w:shd w:val="clear" w:color="auto" w:fill="auto"/>
            <w:vAlign w:val="center"/>
          </w:tcPr>
          <w:p w14:paraId="52C635A8" w14:textId="08E34B4C" w:rsidR="00891AAB" w:rsidRPr="002D3485" w:rsidRDefault="002A7BD1" w:rsidP="00E07F05">
            <w:pPr>
              <w:spacing w:before="0" w:after="0"/>
              <w:rPr>
                <w:rFonts w:ascii="Times New Roman" w:hAnsi="Times New Roman"/>
                <w:b/>
                <w:sz w:val="22"/>
              </w:rPr>
            </w:pPr>
            <w:r>
              <w:rPr>
                <w:rFonts w:ascii="Times New Roman" w:hAnsi="Times New Roman"/>
                <w:b/>
                <w:sz w:val="22"/>
                <w:lang w:val="en-US"/>
              </w:rPr>
              <w:t>DISTRIBUTION CABINET WITH FUSES</w:t>
            </w:r>
          </w:p>
        </w:tc>
        <w:tc>
          <w:tcPr>
            <w:tcW w:w="2369" w:type="dxa"/>
            <w:shd w:val="clear" w:color="auto" w:fill="auto"/>
            <w:vAlign w:val="center"/>
          </w:tcPr>
          <w:p w14:paraId="19055549" w14:textId="230B5BF2" w:rsidR="00891AAB" w:rsidRPr="002D3485" w:rsidRDefault="002A7BD1" w:rsidP="00E07F05">
            <w:pPr>
              <w:spacing w:before="0" w:after="0"/>
              <w:jc w:val="center"/>
              <w:rPr>
                <w:rFonts w:ascii="Times New Roman" w:hAnsi="Times New Roman"/>
                <w:b/>
                <w:sz w:val="22"/>
              </w:rPr>
            </w:pPr>
            <w:r>
              <w:rPr>
                <w:rFonts w:ascii="Times New Roman" w:hAnsi="Times New Roman"/>
                <w:b/>
                <w:sz w:val="22"/>
                <w:lang w:val="sr-Cyrl-RS"/>
              </w:rPr>
              <w:t>2</w:t>
            </w:r>
            <w:r>
              <w:rPr>
                <w:rFonts w:ascii="Times New Roman" w:hAnsi="Times New Roman"/>
                <w:b/>
                <w:sz w:val="22"/>
              </w:rPr>
              <w:t xml:space="preserve"> units</w:t>
            </w:r>
          </w:p>
        </w:tc>
      </w:tr>
      <w:tr w:rsidR="002D3485" w14:paraId="001CEAA8" w14:textId="77777777" w:rsidTr="00E07F05">
        <w:tc>
          <w:tcPr>
            <w:tcW w:w="1057" w:type="dxa"/>
            <w:shd w:val="clear" w:color="auto" w:fill="auto"/>
            <w:vAlign w:val="center"/>
          </w:tcPr>
          <w:p w14:paraId="76A6A864" w14:textId="77777777" w:rsidR="00891AAB" w:rsidRPr="002D3485" w:rsidRDefault="00891AAB" w:rsidP="00E07F05">
            <w:pPr>
              <w:spacing w:before="0" w:after="0"/>
              <w:jc w:val="center"/>
              <w:rPr>
                <w:rFonts w:ascii="Times New Roman" w:hAnsi="Times New Roman"/>
                <w:b/>
                <w:sz w:val="22"/>
              </w:rPr>
            </w:pPr>
            <w:r w:rsidRPr="002D3485">
              <w:rPr>
                <w:rFonts w:ascii="Times New Roman" w:hAnsi="Times New Roman"/>
                <w:b/>
                <w:sz w:val="22"/>
              </w:rPr>
              <w:t>4</w:t>
            </w:r>
          </w:p>
        </w:tc>
        <w:tc>
          <w:tcPr>
            <w:tcW w:w="4613" w:type="dxa"/>
            <w:shd w:val="clear" w:color="auto" w:fill="auto"/>
            <w:vAlign w:val="center"/>
          </w:tcPr>
          <w:p w14:paraId="7296EF3F" w14:textId="726DF479" w:rsidR="00891AAB" w:rsidRPr="002D3485" w:rsidRDefault="002A7BD1" w:rsidP="00E07F05">
            <w:pPr>
              <w:spacing w:before="0" w:after="0"/>
              <w:rPr>
                <w:rFonts w:ascii="Times New Roman" w:hAnsi="Times New Roman"/>
                <w:b/>
                <w:sz w:val="22"/>
              </w:rPr>
            </w:pPr>
            <w:r>
              <w:rPr>
                <w:rFonts w:ascii="Times New Roman" w:hAnsi="Times New Roman"/>
                <w:b/>
                <w:sz w:val="22"/>
                <w:lang w:val="en-US"/>
              </w:rPr>
              <w:t>CABLES 1x600m2</w:t>
            </w:r>
          </w:p>
        </w:tc>
        <w:tc>
          <w:tcPr>
            <w:tcW w:w="2369" w:type="dxa"/>
            <w:shd w:val="clear" w:color="auto" w:fill="auto"/>
            <w:vAlign w:val="center"/>
          </w:tcPr>
          <w:p w14:paraId="23654BE2" w14:textId="54632566" w:rsidR="00891AAB" w:rsidRPr="002D3485" w:rsidRDefault="002A7BD1" w:rsidP="00E07F05">
            <w:pPr>
              <w:spacing w:before="0" w:after="0"/>
              <w:jc w:val="center"/>
              <w:rPr>
                <w:rFonts w:ascii="Times New Roman" w:hAnsi="Times New Roman"/>
                <w:b/>
                <w:sz w:val="22"/>
              </w:rPr>
            </w:pPr>
            <w:r>
              <w:rPr>
                <w:rFonts w:ascii="Times New Roman" w:hAnsi="Times New Roman"/>
                <w:b/>
                <w:sz w:val="22"/>
              </w:rPr>
              <w:t>400 pieces</w:t>
            </w:r>
          </w:p>
        </w:tc>
      </w:tr>
      <w:tr w:rsidR="002D3485" w14:paraId="1115AEFB" w14:textId="77777777" w:rsidTr="00E07F05">
        <w:tc>
          <w:tcPr>
            <w:tcW w:w="1057" w:type="dxa"/>
            <w:shd w:val="clear" w:color="auto" w:fill="auto"/>
            <w:vAlign w:val="center"/>
          </w:tcPr>
          <w:p w14:paraId="7062E26E" w14:textId="77777777" w:rsidR="00891AAB" w:rsidRPr="002D3485" w:rsidRDefault="00891AAB" w:rsidP="00E07F05">
            <w:pPr>
              <w:spacing w:before="0" w:after="0"/>
              <w:jc w:val="center"/>
              <w:rPr>
                <w:rFonts w:ascii="Times New Roman" w:hAnsi="Times New Roman"/>
                <w:b/>
                <w:sz w:val="22"/>
              </w:rPr>
            </w:pPr>
            <w:r w:rsidRPr="002D3485">
              <w:rPr>
                <w:rFonts w:ascii="Times New Roman" w:hAnsi="Times New Roman"/>
                <w:b/>
                <w:sz w:val="22"/>
              </w:rPr>
              <w:t>5</w:t>
            </w:r>
          </w:p>
        </w:tc>
        <w:tc>
          <w:tcPr>
            <w:tcW w:w="4613" w:type="dxa"/>
            <w:shd w:val="clear" w:color="auto" w:fill="auto"/>
            <w:vAlign w:val="center"/>
          </w:tcPr>
          <w:p w14:paraId="1C958708" w14:textId="23EC9E08" w:rsidR="00891AAB" w:rsidRPr="002D3485" w:rsidRDefault="002A7BD1" w:rsidP="00E07F05">
            <w:pPr>
              <w:spacing w:before="0" w:after="0"/>
              <w:rPr>
                <w:rFonts w:ascii="Times New Roman" w:hAnsi="Times New Roman"/>
                <w:b/>
                <w:sz w:val="22"/>
              </w:rPr>
            </w:pPr>
            <w:r w:rsidRPr="00C15703">
              <w:rPr>
                <w:rFonts w:ascii="Times New Roman" w:eastAsia="Cambria-Bold" w:hAnsi="Times New Roman"/>
                <w:b/>
                <w:bCs/>
              </w:rPr>
              <w:t xml:space="preserve">LIGHTNING INSTALLATION AND PROTECTIVE </w:t>
            </w:r>
            <w:r>
              <w:rPr>
                <w:rFonts w:ascii="Times New Roman" w:eastAsia="Cambria-Bold" w:hAnsi="Times New Roman"/>
                <w:b/>
                <w:bCs/>
              </w:rPr>
              <w:t>GROUNDING</w:t>
            </w:r>
            <w:r w:rsidRPr="00C15703">
              <w:rPr>
                <w:rFonts w:ascii="Times New Roman" w:eastAsia="Cambria-Bold" w:hAnsi="Times New Roman"/>
                <w:b/>
                <w:bCs/>
              </w:rPr>
              <w:t xml:space="preserve"> OF THE SOLAR FIELD</w:t>
            </w:r>
          </w:p>
        </w:tc>
        <w:tc>
          <w:tcPr>
            <w:tcW w:w="2369" w:type="dxa"/>
            <w:shd w:val="clear" w:color="auto" w:fill="auto"/>
            <w:vAlign w:val="center"/>
          </w:tcPr>
          <w:p w14:paraId="2F6A0384" w14:textId="1081C55D" w:rsidR="00891AAB" w:rsidRPr="002A7BD1" w:rsidRDefault="002A7BD1" w:rsidP="00E07F05">
            <w:pPr>
              <w:spacing w:before="0" w:after="0"/>
              <w:jc w:val="center"/>
              <w:rPr>
                <w:rFonts w:ascii="Times New Roman" w:hAnsi="Times New Roman"/>
                <w:b/>
                <w:sz w:val="22"/>
                <w:lang w:val="en-US"/>
              </w:rPr>
            </w:pPr>
            <w:r>
              <w:rPr>
                <w:rFonts w:ascii="Times New Roman" w:hAnsi="Times New Roman"/>
                <w:b/>
                <w:sz w:val="22"/>
                <w:lang w:val="sr-Cyrl-RS"/>
              </w:rPr>
              <w:t xml:space="preserve">1 </w:t>
            </w:r>
            <w:r>
              <w:rPr>
                <w:rFonts w:ascii="Times New Roman" w:hAnsi="Times New Roman"/>
                <w:b/>
                <w:sz w:val="22"/>
                <w:lang w:val="en-US"/>
              </w:rPr>
              <w:t>system</w:t>
            </w:r>
          </w:p>
        </w:tc>
      </w:tr>
      <w:tr w:rsidR="002D3485" w14:paraId="72FBA416" w14:textId="77777777" w:rsidTr="00E07F05">
        <w:tc>
          <w:tcPr>
            <w:tcW w:w="1057" w:type="dxa"/>
            <w:shd w:val="clear" w:color="auto" w:fill="auto"/>
            <w:vAlign w:val="center"/>
          </w:tcPr>
          <w:p w14:paraId="07E6865D" w14:textId="77777777" w:rsidR="00891AAB" w:rsidRPr="002D3485" w:rsidRDefault="00891AAB" w:rsidP="00E07F05">
            <w:pPr>
              <w:spacing w:before="0" w:after="0"/>
              <w:jc w:val="center"/>
              <w:rPr>
                <w:rFonts w:ascii="Times New Roman" w:hAnsi="Times New Roman"/>
                <w:b/>
                <w:sz w:val="22"/>
              </w:rPr>
            </w:pPr>
            <w:r w:rsidRPr="002D3485">
              <w:rPr>
                <w:rFonts w:ascii="Times New Roman" w:hAnsi="Times New Roman"/>
                <w:b/>
                <w:sz w:val="22"/>
              </w:rPr>
              <w:t>6</w:t>
            </w:r>
          </w:p>
        </w:tc>
        <w:tc>
          <w:tcPr>
            <w:tcW w:w="4613" w:type="dxa"/>
            <w:shd w:val="clear" w:color="auto" w:fill="auto"/>
            <w:vAlign w:val="center"/>
          </w:tcPr>
          <w:p w14:paraId="31BD5396" w14:textId="2E655A62" w:rsidR="00891AAB" w:rsidRPr="002D3485" w:rsidRDefault="002A7BD1" w:rsidP="00E07F05">
            <w:pPr>
              <w:spacing w:before="0" w:after="0"/>
              <w:rPr>
                <w:rFonts w:ascii="Times New Roman" w:hAnsi="Times New Roman"/>
                <w:b/>
                <w:sz w:val="22"/>
              </w:rPr>
            </w:pPr>
            <w:r w:rsidRPr="00B84951">
              <w:rPr>
                <w:rFonts w:ascii="Times New Roman" w:eastAsia="Cambria-Bold" w:hAnsi="Times New Roman"/>
                <w:b/>
                <w:bCs/>
                <w:sz w:val="22"/>
                <w:szCs w:val="22"/>
              </w:rPr>
              <w:t>MC6</w:t>
            </w:r>
            <w:r>
              <w:rPr>
                <w:rFonts w:ascii="Times New Roman" w:eastAsia="Cambria-Bold" w:hAnsi="Times New Roman"/>
                <w:b/>
                <w:bCs/>
                <w:sz w:val="22"/>
                <w:szCs w:val="22"/>
                <w:lang w:val="sr-Cyrl-RS"/>
              </w:rPr>
              <w:t xml:space="preserve"> </w:t>
            </w:r>
            <w:r>
              <w:rPr>
                <w:rFonts w:ascii="Times New Roman" w:eastAsia="Cambria-Bold" w:hAnsi="Times New Roman"/>
                <w:b/>
                <w:bCs/>
                <w:sz w:val="22"/>
                <w:szCs w:val="22"/>
                <w:lang w:val="en-US"/>
              </w:rPr>
              <w:t>CONNECTORS SINGLE-CONTACT ELECTRICAL CONNECTORS</w:t>
            </w:r>
          </w:p>
        </w:tc>
        <w:tc>
          <w:tcPr>
            <w:tcW w:w="2369" w:type="dxa"/>
            <w:shd w:val="clear" w:color="auto" w:fill="auto"/>
            <w:vAlign w:val="center"/>
          </w:tcPr>
          <w:p w14:paraId="473C6501" w14:textId="61504918" w:rsidR="00891AAB" w:rsidRPr="002D3485" w:rsidRDefault="002A7BD1" w:rsidP="00E07F05">
            <w:pPr>
              <w:spacing w:before="0" w:after="0"/>
              <w:jc w:val="center"/>
              <w:rPr>
                <w:rFonts w:ascii="Times New Roman" w:hAnsi="Times New Roman"/>
                <w:b/>
                <w:sz w:val="22"/>
              </w:rPr>
            </w:pPr>
            <w:r>
              <w:rPr>
                <w:rFonts w:ascii="Times New Roman" w:hAnsi="Times New Roman"/>
                <w:b/>
                <w:sz w:val="22"/>
                <w:szCs w:val="22"/>
              </w:rPr>
              <w:t>400 pieces</w:t>
            </w:r>
          </w:p>
        </w:tc>
      </w:tr>
    </w:tbl>
    <w:bookmarkEnd w:id="4"/>
    <w:p w14:paraId="5F3A06E2" w14:textId="0D25B00A" w:rsidR="0047783A" w:rsidRPr="00E82463" w:rsidRDefault="0047783A" w:rsidP="00E82463">
      <w:pPr>
        <w:ind w:left="567"/>
        <w:jc w:val="both"/>
        <w:rPr>
          <w:rFonts w:ascii="Times New Roman" w:hAnsi="Times New Roman"/>
          <w:sz w:val="22"/>
        </w:rPr>
      </w:pPr>
      <w:r w:rsidRPr="00891AAB">
        <w:rPr>
          <w:rFonts w:ascii="Times New Roman" w:hAnsi="Times New Roman"/>
          <w:sz w:val="22"/>
        </w:rPr>
        <w:t>at</w:t>
      </w:r>
      <w:r w:rsidR="00DA4D57" w:rsidRPr="00891AAB">
        <w:rPr>
          <w:rFonts w:ascii="Times New Roman" w:hAnsi="Times New Roman"/>
          <w:sz w:val="22"/>
        </w:rPr>
        <w:t xml:space="preserve"> </w:t>
      </w:r>
      <w:bookmarkStart w:id="5" w:name="_Hlk40560807"/>
      <w:r w:rsidR="00B33ADD" w:rsidRPr="003D3467">
        <w:rPr>
          <w:rFonts w:ascii="Times New Roman" w:hAnsi="Times New Roman"/>
          <w:b/>
          <w:sz w:val="22"/>
        </w:rPr>
        <w:t>Elementary school “Milan Petrovi</w:t>
      </w:r>
      <w:r w:rsidR="00B33ADD" w:rsidRPr="003D3467">
        <w:rPr>
          <w:rFonts w:ascii="Times New Roman" w:hAnsi="Times New Roman"/>
          <w:b/>
          <w:sz w:val="22"/>
          <w:lang w:val="sr-Latn-RS"/>
        </w:rPr>
        <w:t>ć</w:t>
      </w:r>
      <w:r w:rsidR="00B33ADD" w:rsidRPr="003D3467">
        <w:rPr>
          <w:rFonts w:ascii="Times New Roman" w:hAnsi="Times New Roman"/>
          <w:b/>
          <w:sz w:val="22"/>
        </w:rPr>
        <w:t>”</w:t>
      </w:r>
      <w:r w:rsidR="00EF7132" w:rsidRPr="003D3467">
        <w:rPr>
          <w:rFonts w:ascii="Times New Roman" w:hAnsi="Times New Roman"/>
          <w:b/>
          <w:sz w:val="22"/>
        </w:rPr>
        <w:t xml:space="preserve"> Novi Sad</w:t>
      </w:r>
      <w:r w:rsidR="00891AAB" w:rsidRPr="003D3467">
        <w:rPr>
          <w:rFonts w:ascii="Times New Roman" w:hAnsi="Times New Roman"/>
          <w:b/>
          <w:sz w:val="22"/>
        </w:rPr>
        <w:t>, Bate Brkića 9,</w:t>
      </w:r>
      <w:r w:rsidR="00B33ADD" w:rsidRPr="003D3467">
        <w:rPr>
          <w:rFonts w:ascii="Times New Roman" w:hAnsi="Times New Roman"/>
          <w:b/>
          <w:sz w:val="22"/>
        </w:rPr>
        <w:t xml:space="preserve"> 21000 Novi Sad</w:t>
      </w:r>
      <w:bookmarkEnd w:id="5"/>
      <w:r w:rsidR="00CF63C2" w:rsidRPr="003D3467">
        <w:rPr>
          <w:rFonts w:ascii="Times New Roman" w:hAnsi="Times New Roman"/>
          <w:b/>
          <w:sz w:val="22"/>
        </w:rPr>
        <w:t xml:space="preserve"> DDP</w:t>
      </w:r>
      <w:r w:rsidR="00E07F05" w:rsidRPr="003D3467">
        <w:rPr>
          <w:rFonts w:ascii="Times New Roman" w:hAnsi="Times New Roman"/>
          <w:b/>
          <w:sz w:val="22"/>
        </w:rPr>
        <w:t xml:space="preserve"> excluding VAT</w:t>
      </w:r>
      <w:r w:rsidR="006A5F84" w:rsidRPr="003D3467">
        <w:rPr>
          <w:rFonts w:ascii="Times New Roman" w:hAnsi="Times New Roman"/>
          <w:sz w:val="22"/>
        </w:rPr>
        <w:t>,</w:t>
      </w:r>
      <w:r w:rsidRPr="003D3467">
        <w:rPr>
          <w:rFonts w:ascii="Times New Roman" w:hAnsi="Times New Roman"/>
          <w:sz w:val="22"/>
        </w:rPr>
        <w:t xml:space="preserve"> and</w:t>
      </w:r>
      <w:r w:rsidRPr="00891AAB">
        <w:rPr>
          <w:rFonts w:ascii="Times New Roman" w:hAnsi="Times New Roman"/>
          <w:sz w:val="22"/>
        </w:rPr>
        <w:t xml:space="preserve"> the implementation period i</w:t>
      </w:r>
      <w:r w:rsidR="00891AAB">
        <w:rPr>
          <w:rFonts w:ascii="Times New Roman" w:hAnsi="Times New Roman"/>
          <w:sz w:val="22"/>
        </w:rPr>
        <w:t xml:space="preserve">s </w:t>
      </w:r>
      <w:r w:rsidR="00891AAB" w:rsidRPr="00E07F05">
        <w:rPr>
          <w:rFonts w:ascii="Times New Roman" w:hAnsi="Times New Roman"/>
          <w:b/>
          <w:sz w:val="22"/>
        </w:rPr>
        <w:t>90</w:t>
      </w:r>
      <w:r w:rsidRPr="00E07F05">
        <w:rPr>
          <w:rFonts w:ascii="Times New Roman" w:hAnsi="Times New Roman"/>
          <w:b/>
          <w:sz w:val="22"/>
        </w:rPr>
        <w:t xml:space="preserve"> days</w:t>
      </w:r>
      <w:r w:rsidRPr="00891AAB">
        <w:rPr>
          <w:rFonts w:ascii="Times New Roman" w:hAnsi="Times New Roman"/>
          <w:sz w:val="22"/>
        </w:rPr>
        <w:t>.</w:t>
      </w:r>
    </w:p>
    <w:p w14:paraId="5026E3B1"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6" w:name="_Ref499723935"/>
      <w:bookmarkStart w:id="7"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6"/>
    <w:bookmarkEnd w:id="7"/>
    <w:p w14:paraId="53B09B60" w14:textId="7DC96A3D"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657CE7">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39459B4D" w14:textId="77777777" w:rsidR="0047783A" w:rsidRPr="00E82463" w:rsidRDefault="0047783A" w:rsidP="00A4424B">
      <w:pPr>
        <w:pStyle w:val="Heading1"/>
      </w:pPr>
      <w:bookmarkStart w:id="8" w:name="_Toc42488071"/>
      <w:r w:rsidRPr="00E82463">
        <w:t>Timetable</w:t>
      </w:r>
      <w:bookmarkEnd w:id="8"/>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3A60FCDA" w14:textId="77777777" w:rsidTr="00A4424B">
        <w:tc>
          <w:tcPr>
            <w:tcW w:w="3969" w:type="dxa"/>
            <w:tcBorders>
              <w:bottom w:val="nil"/>
            </w:tcBorders>
          </w:tcPr>
          <w:p w14:paraId="3E63A241" w14:textId="77777777" w:rsidR="0047783A" w:rsidRPr="00E82463" w:rsidRDefault="0047783A">
            <w:pPr>
              <w:keepNext/>
              <w:jc w:val="both"/>
              <w:rPr>
                <w:rFonts w:ascii="Times New Roman" w:hAnsi="Times New Roman"/>
              </w:rPr>
            </w:pPr>
          </w:p>
        </w:tc>
        <w:tc>
          <w:tcPr>
            <w:tcW w:w="2410" w:type="dxa"/>
            <w:shd w:val="pct10" w:color="auto" w:fill="FFFFFF"/>
          </w:tcPr>
          <w:p w14:paraId="0F5463D2"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3386185A"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27C3C077" w14:textId="77777777" w:rsidTr="00A4424B">
        <w:tc>
          <w:tcPr>
            <w:tcW w:w="3969" w:type="dxa"/>
            <w:shd w:val="pct10" w:color="auto" w:fill="FFFFFF"/>
          </w:tcPr>
          <w:p w14:paraId="35D10DF7"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30117D3F" w14:textId="1C5A8DED" w:rsidR="0047783A" w:rsidRPr="00B33ADD" w:rsidRDefault="0047783A" w:rsidP="00A4424B">
            <w:pPr>
              <w:jc w:val="center"/>
              <w:rPr>
                <w:rFonts w:ascii="Times New Roman" w:hAnsi="Times New Roman"/>
                <w:b/>
                <w:bCs/>
                <w:sz w:val="22"/>
              </w:rPr>
            </w:pPr>
            <w:r w:rsidRPr="00B33ADD">
              <w:rPr>
                <w:rFonts w:ascii="Times New Roman" w:hAnsi="Times New Roman"/>
                <w:b/>
                <w:bCs/>
                <w:sz w:val="22"/>
              </w:rPr>
              <w:t>Not applicable</w:t>
            </w:r>
          </w:p>
        </w:tc>
        <w:tc>
          <w:tcPr>
            <w:tcW w:w="2268" w:type="dxa"/>
          </w:tcPr>
          <w:p w14:paraId="29FE9C6D" w14:textId="7504809A" w:rsidR="0047783A" w:rsidRPr="00B33ADD" w:rsidRDefault="00B33ADD" w:rsidP="00A4424B">
            <w:pPr>
              <w:jc w:val="center"/>
              <w:rPr>
                <w:rFonts w:ascii="Times New Roman" w:hAnsi="Times New Roman"/>
                <w:b/>
                <w:bCs/>
                <w:sz w:val="22"/>
              </w:rPr>
            </w:pPr>
            <w:r w:rsidRPr="00B33ADD">
              <w:rPr>
                <w:rFonts w:ascii="Times New Roman" w:hAnsi="Times New Roman"/>
                <w:b/>
                <w:bCs/>
                <w:sz w:val="22"/>
              </w:rPr>
              <w:t>Not applicable</w:t>
            </w:r>
          </w:p>
        </w:tc>
      </w:tr>
      <w:tr w:rsidR="00B33ADD" w:rsidRPr="00E82463" w14:paraId="3855A84C" w14:textId="77777777" w:rsidTr="00A4424B">
        <w:tc>
          <w:tcPr>
            <w:tcW w:w="3969" w:type="dxa"/>
            <w:shd w:val="pct10" w:color="auto" w:fill="FFFFFF"/>
          </w:tcPr>
          <w:p w14:paraId="1BBB57EB" w14:textId="77777777" w:rsidR="00B33ADD" w:rsidRPr="00E82463" w:rsidRDefault="00B33ADD" w:rsidP="00B33ADD">
            <w:pPr>
              <w:keepNext/>
              <w:rPr>
                <w:rFonts w:ascii="Times New Roman" w:hAnsi="Times New Roman"/>
                <w:b/>
                <w:sz w:val="22"/>
              </w:rPr>
            </w:pPr>
            <w:r w:rsidRPr="00E82463">
              <w:rPr>
                <w:rFonts w:ascii="Times New Roman" w:hAnsi="Times New Roman"/>
                <w:b/>
                <w:sz w:val="22"/>
              </w:rPr>
              <w:t xml:space="preserve">Deadline for requesting clarifications from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7D289F2B" w14:textId="28D9B21C" w:rsidR="00B33ADD" w:rsidRPr="00E82463" w:rsidRDefault="00B33ADD" w:rsidP="00B33ADD">
            <w:pPr>
              <w:rPr>
                <w:rFonts w:ascii="Times New Roman" w:hAnsi="Times New Roman"/>
                <w:sz w:val="22"/>
              </w:rPr>
            </w:pPr>
            <w:r>
              <w:rPr>
                <w:rFonts w:ascii="Times New Roman" w:hAnsi="Times New Roman"/>
                <w:b/>
                <w:bCs/>
                <w:sz w:val="22"/>
              </w:rPr>
              <w:t>29</w:t>
            </w:r>
            <w:r w:rsidRPr="00B82C7B">
              <w:rPr>
                <w:rFonts w:ascii="Times New Roman" w:hAnsi="Times New Roman"/>
                <w:b/>
                <w:bCs/>
                <w:sz w:val="22"/>
              </w:rPr>
              <w:t>/0</w:t>
            </w:r>
            <w:r>
              <w:rPr>
                <w:rFonts w:ascii="Times New Roman" w:hAnsi="Times New Roman"/>
                <w:b/>
                <w:bCs/>
                <w:sz w:val="22"/>
              </w:rPr>
              <w:t>5</w:t>
            </w:r>
            <w:r w:rsidRPr="00B82C7B">
              <w:rPr>
                <w:rFonts w:ascii="Times New Roman" w:hAnsi="Times New Roman"/>
                <w:b/>
                <w:bCs/>
                <w:sz w:val="22"/>
              </w:rPr>
              <w:t xml:space="preserve">/2020 </w:t>
            </w:r>
          </w:p>
        </w:tc>
        <w:tc>
          <w:tcPr>
            <w:tcW w:w="2268" w:type="dxa"/>
          </w:tcPr>
          <w:p w14:paraId="1A6F3BCB" w14:textId="22EB5BF8" w:rsidR="00B33ADD" w:rsidRPr="00E82463" w:rsidRDefault="00B33ADD" w:rsidP="00B33ADD">
            <w:pPr>
              <w:jc w:val="center"/>
              <w:rPr>
                <w:rFonts w:ascii="Times New Roman" w:hAnsi="Times New Roman"/>
                <w:sz w:val="22"/>
              </w:rPr>
            </w:pPr>
            <w:r w:rsidRPr="00B82C7B">
              <w:rPr>
                <w:rFonts w:ascii="Times New Roman" w:hAnsi="Times New Roman"/>
                <w:b/>
                <w:bCs/>
                <w:sz w:val="22"/>
              </w:rPr>
              <w:t>1</w:t>
            </w:r>
            <w:r>
              <w:rPr>
                <w:rFonts w:ascii="Times New Roman" w:hAnsi="Times New Roman"/>
                <w:b/>
                <w:bCs/>
                <w:sz w:val="22"/>
              </w:rPr>
              <w:t>3</w:t>
            </w:r>
            <w:r w:rsidRPr="00B82C7B">
              <w:rPr>
                <w:rFonts w:ascii="Times New Roman" w:hAnsi="Times New Roman"/>
                <w:b/>
                <w:bCs/>
                <w:sz w:val="22"/>
              </w:rPr>
              <w:t>:00</w:t>
            </w:r>
            <w:r>
              <w:rPr>
                <w:rFonts w:ascii="Times New Roman" w:hAnsi="Times New Roman"/>
                <w:b/>
                <w:bCs/>
                <w:sz w:val="22"/>
              </w:rPr>
              <w:t xml:space="preserve"> </w:t>
            </w:r>
            <w:r w:rsidRPr="00B82C7B">
              <w:rPr>
                <w:rFonts w:ascii="Times New Roman" w:hAnsi="Times New Roman"/>
                <w:b/>
                <w:bCs/>
                <w:sz w:val="22"/>
              </w:rPr>
              <w:t>local time</w:t>
            </w:r>
          </w:p>
        </w:tc>
      </w:tr>
      <w:tr w:rsidR="00B33ADD" w:rsidRPr="00E82463" w14:paraId="48AB1EA5" w14:textId="77777777" w:rsidTr="00A4424B">
        <w:tc>
          <w:tcPr>
            <w:tcW w:w="3969" w:type="dxa"/>
            <w:shd w:val="pct10" w:color="auto" w:fill="FFFFFF"/>
          </w:tcPr>
          <w:p w14:paraId="49264560" w14:textId="77777777" w:rsidR="00B33ADD" w:rsidRPr="00E82463" w:rsidRDefault="00B33ADD" w:rsidP="00B33ADD">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5C403E94" w14:textId="335F8961" w:rsidR="00B33ADD" w:rsidRPr="00E82463" w:rsidRDefault="00B33ADD" w:rsidP="00B33ADD">
            <w:pPr>
              <w:rPr>
                <w:rFonts w:ascii="Times New Roman" w:hAnsi="Times New Roman"/>
                <w:sz w:val="22"/>
              </w:rPr>
            </w:pPr>
            <w:r>
              <w:rPr>
                <w:rFonts w:ascii="Times New Roman" w:hAnsi="Times New Roman"/>
                <w:b/>
                <w:bCs/>
                <w:sz w:val="22"/>
              </w:rPr>
              <w:t>08</w:t>
            </w:r>
            <w:r w:rsidRPr="00B82C7B">
              <w:rPr>
                <w:rFonts w:ascii="Times New Roman" w:hAnsi="Times New Roman"/>
                <w:b/>
                <w:bCs/>
                <w:sz w:val="22"/>
              </w:rPr>
              <w:t xml:space="preserve">/06/2020 </w:t>
            </w:r>
          </w:p>
        </w:tc>
        <w:tc>
          <w:tcPr>
            <w:tcW w:w="2268" w:type="dxa"/>
          </w:tcPr>
          <w:p w14:paraId="27AD9147" w14:textId="77777777" w:rsidR="00B33ADD" w:rsidRPr="00E82463" w:rsidRDefault="00B33ADD" w:rsidP="00B33ADD">
            <w:pPr>
              <w:jc w:val="center"/>
              <w:rPr>
                <w:rFonts w:ascii="Times New Roman" w:hAnsi="Times New Roman"/>
                <w:sz w:val="22"/>
              </w:rPr>
            </w:pPr>
            <w:r w:rsidRPr="00E82463">
              <w:rPr>
                <w:rFonts w:ascii="Times New Roman" w:hAnsi="Times New Roman"/>
                <w:sz w:val="22"/>
              </w:rPr>
              <w:t>-</w:t>
            </w:r>
          </w:p>
        </w:tc>
      </w:tr>
      <w:tr w:rsidR="00B33ADD" w:rsidRPr="00E82463" w14:paraId="02F2AFEC" w14:textId="77777777" w:rsidTr="00A4424B">
        <w:tc>
          <w:tcPr>
            <w:tcW w:w="3969" w:type="dxa"/>
            <w:shd w:val="pct10" w:color="auto" w:fill="FFFFFF"/>
          </w:tcPr>
          <w:p w14:paraId="67C36F37" w14:textId="77777777" w:rsidR="00B33ADD" w:rsidRPr="00E82463" w:rsidRDefault="00B33ADD" w:rsidP="00B33ADD">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4F8E7190" w14:textId="501D1C64" w:rsidR="00B33ADD" w:rsidRPr="00E82463" w:rsidRDefault="00B33ADD" w:rsidP="00B33ADD">
            <w:pPr>
              <w:rPr>
                <w:rFonts w:ascii="Times New Roman" w:hAnsi="Times New Roman"/>
                <w:sz w:val="22"/>
              </w:rPr>
            </w:pPr>
            <w:r>
              <w:rPr>
                <w:rFonts w:ascii="Times New Roman" w:hAnsi="Times New Roman"/>
                <w:b/>
                <w:bCs/>
                <w:sz w:val="22"/>
              </w:rPr>
              <w:t>19</w:t>
            </w:r>
            <w:r w:rsidRPr="00B82C7B">
              <w:rPr>
                <w:rFonts w:ascii="Times New Roman" w:hAnsi="Times New Roman"/>
                <w:b/>
                <w:bCs/>
                <w:sz w:val="22"/>
              </w:rPr>
              <w:t xml:space="preserve">/06/2020 </w:t>
            </w:r>
          </w:p>
        </w:tc>
        <w:tc>
          <w:tcPr>
            <w:tcW w:w="2268" w:type="dxa"/>
          </w:tcPr>
          <w:p w14:paraId="26A78053" w14:textId="27B4BE87" w:rsidR="00B33ADD" w:rsidRPr="00E82463" w:rsidRDefault="00B33ADD" w:rsidP="00B33ADD">
            <w:pPr>
              <w:jc w:val="center"/>
              <w:rPr>
                <w:rFonts w:ascii="Times New Roman" w:hAnsi="Times New Roman"/>
                <w:sz w:val="22"/>
              </w:rPr>
            </w:pPr>
            <w:r w:rsidRPr="00B82C7B">
              <w:rPr>
                <w:rFonts w:ascii="Times New Roman" w:hAnsi="Times New Roman"/>
                <w:b/>
                <w:bCs/>
                <w:sz w:val="22"/>
              </w:rPr>
              <w:t>1</w:t>
            </w:r>
            <w:r>
              <w:rPr>
                <w:rFonts w:ascii="Times New Roman" w:hAnsi="Times New Roman"/>
                <w:b/>
                <w:bCs/>
                <w:sz w:val="22"/>
              </w:rPr>
              <w:t>3</w:t>
            </w:r>
            <w:r w:rsidRPr="00B82C7B">
              <w:rPr>
                <w:rFonts w:ascii="Times New Roman" w:hAnsi="Times New Roman"/>
                <w:b/>
                <w:bCs/>
                <w:sz w:val="22"/>
              </w:rPr>
              <w:t>:00</w:t>
            </w:r>
            <w:r>
              <w:rPr>
                <w:rFonts w:ascii="Times New Roman" w:hAnsi="Times New Roman"/>
                <w:b/>
                <w:bCs/>
                <w:sz w:val="22"/>
              </w:rPr>
              <w:t xml:space="preserve"> </w:t>
            </w:r>
            <w:r w:rsidRPr="00B82C7B">
              <w:rPr>
                <w:rFonts w:ascii="Times New Roman" w:hAnsi="Times New Roman"/>
                <w:b/>
                <w:bCs/>
                <w:sz w:val="22"/>
              </w:rPr>
              <w:t>local time</w:t>
            </w:r>
          </w:p>
        </w:tc>
      </w:tr>
      <w:tr w:rsidR="0047783A" w:rsidRPr="00E82463" w14:paraId="475E1CF4" w14:textId="77777777" w:rsidTr="00A4424B">
        <w:tc>
          <w:tcPr>
            <w:tcW w:w="3969" w:type="dxa"/>
            <w:shd w:val="pct10" w:color="auto" w:fill="FFFFFF"/>
          </w:tcPr>
          <w:p w14:paraId="335393F4" w14:textId="77777777" w:rsidR="0047783A" w:rsidRPr="00E82463" w:rsidRDefault="0047783A">
            <w:pPr>
              <w:jc w:val="both"/>
              <w:rPr>
                <w:rFonts w:ascii="Times New Roman" w:hAnsi="Times New Roman"/>
                <w:b/>
                <w:sz w:val="22"/>
              </w:rPr>
            </w:pPr>
            <w:r w:rsidRPr="00E82463">
              <w:rPr>
                <w:rFonts w:ascii="Times New Roman" w:hAnsi="Times New Roman"/>
                <w:b/>
                <w:sz w:val="22"/>
              </w:rPr>
              <w:lastRenderedPageBreak/>
              <w:t>Tender opening session</w:t>
            </w:r>
          </w:p>
        </w:tc>
        <w:tc>
          <w:tcPr>
            <w:tcW w:w="2410" w:type="dxa"/>
          </w:tcPr>
          <w:p w14:paraId="285FB95B" w14:textId="18DC08ED" w:rsidR="0047783A" w:rsidRPr="00E82463" w:rsidRDefault="00B33ADD" w:rsidP="0047783A">
            <w:pPr>
              <w:rPr>
                <w:rFonts w:ascii="Times New Roman" w:hAnsi="Times New Roman"/>
                <w:sz w:val="22"/>
              </w:rPr>
            </w:pPr>
            <w:r>
              <w:rPr>
                <w:rFonts w:ascii="Times New Roman" w:hAnsi="Times New Roman"/>
                <w:b/>
                <w:bCs/>
                <w:sz w:val="22"/>
              </w:rPr>
              <w:t>2</w:t>
            </w:r>
            <w:r w:rsidR="001C7060">
              <w:rPr>
                <w:rFonts w:ascii="Times New Roman" w:hAnsi="Times New Roman"/>
                <w:b/>
                <w:bCs/>
                <w:sz w:val="22"/>
              </w:rPr>
              <w:t>6</w:t>
            </w:r>
            <w:r w:rsidRPr="00B82C7B">
              <w:rPr>
                <w:rFonts w:ascii="Times New Roman" w:hAnsi="Times New Roman"/>
                <w:b/>
                <w:bCs/>
                <w:sz w:val="22"/>
              </w:rPr>
              <w:t xml:space="preserve">/06/2020 </w:t>
            </w:r>
          </w:p>
        </w:tc>
        <w:tc>
          <w:tcPr>
            <w:tcW w:w="2268" w:type="dxa"/>
          </w:tcPr>
          <w:p w14:paraId="7B56AE00" w14:textId="736ABF4C" w:rsidR="0047783A" w:rsidRPr="00E82463" w:rsidRDefault="00B33ADD" w:rsidP="00A4424B">
            <w:pPr>
              <w:jc w:val="center"/>
              <w:rPr>
                <w:rFonts w:ascii="Times New Roman" w:hAnsi="Times New Roman"/>
                <w:sz w:val="22"/>
              </w:rPr>
            </w:pPr>
            <w:r w:rsidRPr="00B82C7B">
              <w:rPr>
                <w:rFonts w:ascii="Times New Roman" w:hAnsi="Times New Roman"/>
                <w:b/>
                <w:bCs/>
                <w:sz w:val="22"/>
              </w:rPr>
              <w:t>1</w:t>
            </w:r>
            <w:r>
              <w:rPr>
                <w:rFonts w:ascii="Times New Roman" w:hAnsi="Times New Roman"/>
                <w:b/>
                <w:bCs/>
                <w:sz w:val="22"/>
              </w:rPr>
              <w:t>1</w:t>
            </w:r>
            <w:r w:rsidRPr="00B82C7B">
              <w:rPr>
                <w:rFonts w:ascii="Times New Roman" w:hAnsi="Times New Roman"/>
                <w:b/>
                <w:bCs/>
                <w:sz w:val="22"/>
              </w:rPr>
              <w:t>:00</w:t>
            </w:r>
            <w:r>
              <w:rPr>
                <w:rFonts w:ascii="Times New Roman" w:hAnsi="Times New Roman"/>
                <w:b/>
                <w:bCs/>
                <w:sz w:val="22"/>
              </w:rPr>
              <w:t xml:space="preserve"> am</w:t>
            </w:r>
            <w:r w:rsidRPr="00B82C7B">
              <w:rPr>
                <w:rFonts w:ascii="Times New Roman" w:hAnsi="Times New Roman"/>
                <w:b/>
                <w:bCs/>
                <w:sz w:val="22"/>
              </w:rPr>
              <w:t xml:space="preserve"> local time</w:t>
            </w:r>
          </w:p>
        </w:tc>
      </w:tr>
      <w:tr w:rsidR="0047783A" w:rsidRPr="00E82463" w14:paraId="596AA3AB" w14:textId="77777777" w:rsidTr="00A4424B">
        <w:tc>
          <w:tcPr>
            <w:tcW w:w="3969" w:type="dxa"/>
            <w:shd w:val="pct10" w:color="auto" w:fill="FFFFFF"/>
          </w:tcPr>
          <w:p w14:paraId="0089864D"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6F1DA4A" w14:textId="15919883" w:rsidR="0047783A" w:rsidRPr="00E82463" w:rsidRDefault="00B33ADD" w:rsidP="00F679ED">
            <w:pPr>
              <w:tabs>
                <w:tab w:val="left" w:pos="851"/>
              </w:tabs>
              <w:rPr>
                <w:rFonts w:ascii="Times New Roman" w:hAnsi="Times New Roman"/>
                <w:sz w:val="22"/>
              </w:rPr>
            </w:pPr>
            <w:r>
              <w:rPr>
                <w:rFonts w:ascii="Times New Roman" w:hAnsi="Times New Roman"/>
                <w:b/>
                <w:bCs/>
                <w:sz w:val="22"/>
              </w:rPr>
              <w:t>2</w:t>
            </w:r>
            <w:r w:rsidR="001C7060">
              <w:rPr>
                <w:rFonts w:ascii="Times New Roman" w:hAnsi="Times New Roman"/>
                <w:b/>
                <w:bCs/>
                <w:sz w:val="22"/>
              </w:rPr>
              <w:t>9</w:t>
            </w:r>
            <w:r w:rsidRPr="00B82C7B">
              <w:rPr>
                <w:rFonts w:ascii="Times New Roman" w:hAnsi="Times New Roman"/>
                <w:b/>
                <w:bCs/>
                <w:sz w:val="22"/>
              </w:rPr>
              <w:t xml:space="preserve">/06/2020 </w:t>
            </w:r>
            <w:r w:rsidR="00F679ED">
              <w:rPr>
                <w:rFonts w:ascii="Times New Roman" w:hAnsi="Times New Roman"/>
                <w:sz w:val="22"/>
                <w:vertAlign w:val="superscript"/>
              </w:rPr>
              <w:t>**</w:t>
            </w:r>
          </w:p>
        </w:tc>
        <w:tc>
          <w:tcPr>
            <w:tcW w:w="2268" w:type="dxa"/>
          </w:tcPr>
          <w:p w14:paraId="77502A10"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6F5C9AC3" w14:textId="77777777" w:rsidTr="00A4424B">
        <w:tc>
          <w:tcPr>
            <w:tcW w:w="3969" w:type="dxa"/>
            <w:shd w:val="pct10" w:color="auto" w:fill="FFFFFF"/>
          </w:tcPr>
          <w:p w14:paraId="6B15BAB3"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3BA84E3A" w14:textId="6548952E" w:rsidR="0047783A" w:rsidRPr="00E82463" w:rsidRDefault="001C7060" w:rsidP="00F679ED">
            <w:pPr>
              <w:tabs>
                <w:tab w:val="left" w:pos="851"/>
              </w:tabs>
              <w:rPr>
                <w:rFonts w:ascii="Times New Roman" w:hAnsi="Times New Roman"/>
                <w:sz w:val="22"/>
              </w:rPr>
            </w:pPr>
            <w:r>
              <w:rPr>
                <w:rFonts w:ascii="Times New Roman" w:hAnsi="Times New Roman"/>
                <w:b/>
                <w:bCs/>
                <w:sz w:val="22"/>
              </w:rPr>
              <w:t>30</w:t>
            </w:r>
            <w:r w:rsidR="00B33ADD" w:rsidRPr="00B82C7B">
              <w:rPr>
                <w:rFonts w:ascii="Times New Roman" w:hAnsi="Times New Roman"/>
                <w:b/>
                <w:bCs/>
                <w:sz w:val="22"/>
              </w:rPr>
              <w:t xml:space="preserve">/06/2020 </w:t>
            </w:r>
            <w:r w:rsidR="00F679ED">
              <w:rPr>
                <w:rFonts w:ascii="Times New Roman" w:hAnsi="Times New Roman"/>
                <w:sz w:val="22"/>
                <w:vertAlign w:val="superscript"/>
              </w:rPr>
              <w:t>**</w:t>
            </w:r>
          </w:p>
        </w:tc>
        <w:tc>
          <w:tcPr>
            <w:tcW w:w="2268" w:type="dxa"/>
          </w:tcPr>
          <w:p w14:paraId="42CDE1CF" w14:textId="77777777" w:rsidR="0047783A" w:rsidRPr="00E82463" w:rsidRDefault="0047783A" w:rsidP="00B33ADD">
            <w:pPr>
              <w:tabs>
                <w:tab w:val="left" w:pos="851"/>
              </w:tabs>
              <w:jc w:val="center"/>
              <w:rPr>
                <w:rFonts w:ascii="Times New Roman" w:hAnsi="Times New Roman"/>
                <w:sz w:val="22"/>
              </w:rPr>
            </w:pPr>
            <w:r w:rsidRPr="00E82463">
              <w:rPr>
                <w:rFonts w:ascii="Times New Roman" w:hAnsi="Times New Roman"/>
                <w:sz w:val="22"/>
              </w:rPr>
              <w:t>-</w:t>
            </w:r>
          </w:p>
        </w:tc>
      </w:tr>
    </w:tbl>
    <w:p w14:paraId="6F876AA8" w14:textId="5A0150D4" w:rsidR="00F679ED" w:rsidRPr="00E82463" w:rsidRDefault="0047783A">
      <w:pPr>
        <w:tabs>
          <w:tab w:val="left" w:pos="851"/>
        </w:tabs>
        <w:jc w:val="both"/>
        <w:rPr>
          <w:rFonts w:ascii="Times New Roman" w:hAnsi="Times New Roman"/>
          <w:b/>
        </w:rPr>
      </w:pPr>
      <w:bookmarkStart w:id="9"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3913A438" w14:textId="77777777" w:rsidR="0047783A" w:rsidRPr="00E82463" w:rsidRDefault="0047783A" w:rsidP="00A4424B">
      <w:pPr>
        <w:pStyle w:val="Heading1"/>
      </w:pPr>
      <w:bookmarkStart w:id="10" w:name="_Toc42488072"/>
      <w:bookmarkEnd w:id="9"/>
      <w:r w:rsidRPr="00E82463">
        <w:t>Participation</w:t>
      </w:r>
      <w:bookmarkEnd w:id="10"/>
    </w:p>
    <w:p w14:paraId="45FDA10E" w14:textId="7B5779F5" w:rsidR="00123EDC" w:rsidRPr="00657CE7" w:rsidRDefault="0047783A" w:rsidP="00657CE7">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657CE7">
        <w:rPr>
          <w:sz w:val="22"/>
          <w:szCs w:val="22"/>
          <w:lang w:val="en-GB"/>
        </w:rPr>
        <w:t xml:space="preserve">Participation is open to all legal persons </w:t>
      </w:r>
      <w:r w:rsidR="00D8732D" w:rsidRPr="00657CE7">
        <w:rPr>
          <w:sz w:val="22"/>
          <w:szCs w:val="22"/>
          <w:lang w:val="en-GB"/>
        </w:rPr>
        <w:t>(</w:t>
      </w:r>
      <w:r w:rsidR="00123EDC" w:rsidRPr="00657CE7">
        <w:rPr>
          <w:sz w:val="22"/>
          <w:szCs w:val="22"/>
          <w:lang w:val="en-GB"/>
        </w:rPr>
        <w:t xml:space="preserve">participating either individually or in a grouping </w:t>
      </w:r>
      <w:r w:rsidR="00D8732D" w:rsidRPr="00657CE7">
        <w:rPr>
          <w:sz w:val="22"/>
          <w:szCs w:val="22"/>
          <w:lang w:val="en-GB"/>
        </w:rPr>
        <w:t xml:space="preserve">– </w:t>
      </w:r>
      <w:r w:rsidR="00123EDC" w:rsidRPr="00657CE7">
        <w:rPr>
          <w:sz w:val="22"/>
          <w:szCs w:val="22"/>
          <w:lang w:val="en-GB"/>
        </w:rPr>
        <w:t>consortium</w:t>
      </w:r>
      <w:r w:rsidR="00D8732D" w:rsidRPr="00657CE7">
        <w:rPr>
          <w:sz w:val="22"/>
          <w:szCs w:val="22"/>
          <w:lang w:val="en-GB"/>
        </w:rPr>
        <w:t xml:space="preserve"> </w:t>
      </w:r>
      <w:r w:rsidR="00A8413B" w:rsidRPr="00657CE7">
        <w:rPr>
          <w:sz w:val="22"/>
          <w:szCs w:val="22"/>
          <w:lang w:val="en-GB"/>
        </w:rPr>
        <w:t>–</w:t>
      </w:r>
      <w:r w:rsidR="00123EDC" w:rsidRPr="00657CE7">
        <w:rPr>
          <w:sz w:val="22"/>
          <w:szCs w:val="22"/>
          <w:lang w:val="en-GB"/>
        </w:rPr>
        <w:t xml:space="preserve"> of tenderers</w:t>
      </w:r>
      <w:r w:rsidR="00D8732D" w:rsidRPr="00657CE7">
        <w:rPr>
          <w:sz w:val="22"/>
          <w:szCs w:val="22"/>
          <w:lang w:val="en-GB"/>
        </w:rPr>
        <w:t>)</w:t>
      </w:r>
      <w:r w:rsidR="00123EDC" w:rsidRPr="00657CE7">
        <w:rPr>
          <w:sz w:val="22"/>
          <w:szCs w:val="22"/>
          <w:lang w:val="en-GB"/>
        </w:rPr>
        <w:t xml:space="preserve"> which are </w:t>
      </w:r>
      <w:r w:rsidR="000076C2" w:rsidRPr="00657CE7">
        <w:rPr>
          <w:sz w:val="22"/>
          <w:szCs w:val="22"/>
          <w:lang w:val="en-GB"/>
        </w:rPr>
        <w:t xml:space="preserve">effectively </w:t>
      </w:r>
      <w:r w:rsidR="00123EDC" w:rsidRPr="00657CE7">
        <w:rPr>
          <w:sz w:val="22"/>
          <w:szCs w:val="22"/>
          <w:lang w:val="en-GB"/>
        </w:rPr>
        <w:t xml:space="preserve">established in a Member State of the European Union or in a country or territory of the regions covered and/or authorised by the specific instruments applicable to the programme under which the contract is financed (see item 22 </w:t>
      </w:r>
      <w:r w:rsidR="00FD4F5A" w:rsidRPr="00657CE7">
        <w:rPr>
          <w:sz w:val="22"/>
          <w:szCs w:val="22"/>
          <w:lang w:val="en-GB"/>
        </w:rPr>
        <w:t>of the contract notice</w:t>
      </w:r>
      <w:r w:rsidR="00123EDC" w:rsidRPr="00657CE7">
        <w:rPr>
          <w:sz w:val="22"/>
          <w:szCs w:val="22"/>
          <w:lang w:val="en-GB"/>
        </w:rPr>
        <w:t>). All goods supplied under this contract must originate in one or more of these countries. Participation is also open to international organisations. Participation of natural persons is directly governed by the specific instruments applicable to the programme under which the contract is financed.</w:t>
      </w:r>
    </w:p>
    <w:p w14:paraId="7C0BD770" w14:textId="77777777" w:rsidR="0047783A" w:rsidRPr="00E82463" w:rsidRDefault="0047783A" w:rsidP="0047783A">
      <w:pPr>
        <w:pStyle w:val="Heading2"/>
        <w:keepNext w:val="0"/>
        <w:ind w:left="567" w:hanging="567"/>
        <w:jc w:val="both"/>
        <w:rPr>
          <w:rFonts w:ascii="Times New Roman" w:hAnsi="Times New Roman"/>
          <w:lang w:val="en-GB"/>
        </w:rPr>
      </w:pPr>
      <w:r w:rsidRPr="00657CE7">
        <w:rPr>
          <w:rFonts w:ascii="Times New Roman" w:hAnsi="Times New Roman"/>
          <w:sz w:val="22"/>
          <w:lang w:val="en-GB"/>
        </w:rPr>
        <w:t>3.2</w:t>
      </w:r>
      <w:r w:rsidRPr="00657CE7">
        <w:rPr>
          <w:rFonts w:ascii="Times New Roman" w:hAnsi="Times New Roman"/>
          <w:sz w:val="22"/>
          <w:lang w:val="en-GB"/>
        </w:rPr>
        <w:tab/>
      </w:r>
      <w:r w:rsidR="004365AD" w:rsidRPr="00657CE7">
        <w:rPr>
          <w:rFonts w:ascii="Times New Roman" w:hAnsi="Times New Roman"/>
          <w:sz w:val="22"/>
          <w:szCs w:val="22"/>
          <w:lang w:val="en-GB"/>
        </w:rPr>
        <w:t>These terms refer to all nationals of the above states and to all legal</w:t>
      </w:r>
      <w:r w:rsidR="004365AD" w:rsidRPr="00E82463">
        <w:rPr>
          <w:rFonts w:ascii="Times New Roman" w:hAnsi="Times New Roman"/>
          <w:sz w:val="22"/>
          <w:szCs w:val="22"/>
          <w:lang w:val="en-GB"/>
        </w:rPr>
        <w:t xml:space="preserve">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6D54D44D"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A618E79"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The declarations must cover all the members of a joint venture/consortium.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 xml:space="preserve">the Financial Regulation in force </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3BA3A594"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21645D">
        <w:rPr>
          <w:rFonts w:ascii="Times New Roman" w:hAnsi="Times New Roman"/>
          <w:sz w:val="22"/>
          <w:szCs w:val="22"/>
          <w:lang w:val="en-GB"/>
        </w:rPr>
        <w:lastRenderedPageBreak/>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1013EEA4"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1A70DD1" w14:textId="3BCCDE31" w:rsidR="0069153C" w:rsidRPr="00A4424B" w:rsidRDefault="0047783A" w:rsidP="00657CE7">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14:paraId="20C9D4BB" w14:textId="77777777" w:rsidR="0047783A" w:rsidRPr="00E82463" w:rsidRDefault="0047783A" w:rsidP="00A4424B">
      <w:pPr>
        <w:pStyle w:val="Heading1"/>
      </w:pPr>
      <w:bookmarkStart w:id="11" w:name="_Toc42488073"/>
      <w:r w:rsidRPr="00E82463">
        <w:t>Origin</w:t>
      </w:r>
      <w:bookmarkEnd w:id="11"/>
    </w:p>
    <w:p w14:paraId="79F2E08C" w14:textId="5D5F44C5" w:rsidR="0047783A" w:rsidRDefault="0047783A" w:rsidP="00552278">
      <w:pPr>
        <w:pStyle w:val="Heading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bookmarkStart w:id="12" w:name="_Hlk40570551"/>
      <w:r w:rsidR="00657CE7" w:rsidRPr="00F5542A">
        <w:rPr>
          <w:rFonts w:ascii="Times New Roman" w:hAnsi="Times New Roman"/>
          <w:sz w:val="22"/>
          <w:szCs w:val="22"/>
          <w:lang w:val="en-GB"/>
        </w:rPr>
        <w:t>All supplies purchased under a procurement contract, or in accordance with a grant agreement, financed under IPA II shall originate from an eligible country or from any country which is eligible under the rules of the partner or other donor or member state or determined in the constitutive act of the trust fund. As the Croatian national rules do not contain any restrictions as regards the rules of origin, all goods can originate from any country, irrespective of any thresholds.</w:t>
      </w:r>
      <w:bookmarkEnd w:id="12"/>
    </w:p>
    <w:p w14:paraId="68F0C740" w14:textId="77777777" w:rsidR="0047783A" w:rsidRPr="00E82463" w:rsidRDefault="0047783A" w:rsidP="00A4424B">
      <w:pPr>
        <w:pStyle w:val="Heading1"/>
      </w:pPr>
      <w:bookmarkStart w:id="13" w:name="_Toc42488074"/>
      <w:r w:rsidRPr="00E82463">
        <w:t>Type of contract</w:t>
      </w:r>
      <w:bookmarkEnd w:id="13"/>
    </w:p>
    <w:p w14:paraId="7818D902" w14:textId="5EAC6EB8" w:rsidR="0047783A" w:rsidRPr="00E07F05" w:rsidRDefault="00657CE7" w:rsidP="0047783A">
      <w:pPr>
        <w:pStyle w:val="Heading2"/>
        <w:keepNext w:val="0"/>
        <w:ind w:left="567"/>
        <w:jc w:val="both"/>
        <w:rPr>
          <w:rFonts w:ascii="Times New Roman" w:hAnsi="Times New Roman"/>
          <w:sz w:val="22"/>
          <w:lang w:val="en-US"/>
        </w:rPr>
      </w:pPr>
      <w:r w:rsidRPr="00657CE7">
        <w:rPr>
          <w:rFonts w:ascii="Times New Roman" w:hAnsi="Times New Roman"/>
          <w:sz w:val="22"/>
          <w:lang w:val="en-GB"/>
        </w:rPr>
        <w:t>U</w:t>
      </w:r>
      <w:r w:rsidR="0047783A" w:rsidRPr="00657CE7">
        <w:rPr>
          <w:rFonts w:ascii="Times New Roman" w:hAnsi="Times New Roman"/>
          <w:sz w:val="22"/>
          <w:lang w:val="en-GB"/>
        </w:rPr>
        <w:t>nit-price</w:t>
      </w:r>
      <w:r w:rsidR="00E07F05">
        <w:rPr>
          <w:rFonts w:ascii="Times New Roman" w:hAnsi="Times New Roman"/>
          <w:sz w:val="22"/>
          <w:lang w:val="en-US"/>
        </w:rPr>
        <w:t>.</w:t>
      </w:r>
    </w:p>
    <w:p w14:paraId="6C4A2992" w14:textId="77777777" w:rsidR="0047783A" w:rsidRPr="00E82463" w:rsidRDefault="0047783A" w:rsidP="00A4424B">
      <w:pPr>
        <w:pStyle w:val="Heading1"/>
      </w:pPr>
      <w:bookmarkStart w:id="14" w:name="_Toc42488075"/>
      <w:r w:rsidRPr="00E82463">
        <w:t>Currency</w:t>
      </w:r>
      <w:bookmarkEnd w:id="14"/>
    </w:p>
    <w:p w14:paraId="7429AC03" w14:textId="76E3E02E" w:rsidR="0047783A" w:rsidRPr="00657CE7" w:rsidRDefault="0047783A" w:rsidP="0047783A">
      <w:pPr>
        <w:pStyle w:val="Heading2"/>
        <w:keepNext w:val="0"/>
        <w:ind w:left="567"/>
        <w:jc w:val="both"/>
        <w:rPr>
          <w:rFonts w:ascii="Times New Roman" w:hAnsi="Times New Roman"/>
          <w:sz w:val="22"/>
          <w:lang w:val="en-GB"/>
        </w:rPr>
      </w:pPr>
      <w:r w:rsidRPr="00657CE7">
        <w:rPr>
          <w:rFonts w:ascii="Times New Roman" w:hAnsi="Times New Roman"/>
          <w:sz w:val="22"/>
          <w:szCs w:val="22"/>
          <w:lang w:val="en-GB"/>
        </w:rPr>
        <w:t xml:space="preserve">Tenders must be presented in </w:t>
      </w:r>
      <w:r w:rsidR="00657CE7" w:rsidRPr="00E07F05">
        <w:rPr>
          <w:rFonts w:ascii="Times New Roman" w:hAnsi="Times New Roman"/>
          <w:b/>
          <w:sz w:val="22"/>
          <w:szCs w:val="22"/>
          <w:lang w:val="en-GB"/>
        </w:rPr>
        <w:t>RSD</w:t>
      </w:r>
      <w:r w:rsidR="005F1EC7" w:rsidRPr="00657CE7">
        <w:rPr>
          <w:rFonts w:ascii="Times New Roman" w:hAnsi="Times New Roman"/>
          <w:sz w:val="22"/>
          <w:lang w:val="en-GB"/>
        </w:rPr>
        <w:t>.</w:t>
      </w:r>
    </w:p>
    <w:p w14:paraId="7DB8F788" w14:textId="77777777" w:rsidR="0047783A" w:rsidRPr="00657CE7" w:rsidRDefault="0047783A" w:rsidP="00A4424B">
      <w:pPr>
        <w:pStyle w:val="Heading1"/>
      </w:pPr>
      <w:bookmarkStart w:id="15" w:name="_Toc42488076"/>
      <w:r w:rsidRPr="00657CE7">
        <w:t>Lots</w:t>
      </w:r>
      <w:bookmarkEnd w:id="15"/>
    </w:p>
    <w:p w14:paraId="76EC2DAD" w14:textId="5FBF4DFA" w:rsidR="0047783A" w:rsidRPr="00657CE7" w:rsidRDefault="00657CE7" w:rsidP="00E82463">
      <w:pPr>
        <w:ind w:left="567"/>
        <w:jc w:val="both"/>
        <w:rPr>
          <w:rFonts w:ascii="Times New Roman" w:hAnsi="Times New Roman"/>
          <w:sz w:val="22"/>
        </w:rPr>
      </w:pPr>
      <w:r w:rsidRPr="00657CE7">
        <w:rPr>
          <w:rFonts w:ascii="Times New Roman" w:hAnsi="Times New Roman"/>
          <w:sz w:val="22"/>
        </w:rPr>
        <w:t>T</w:t>
      </w:r>
      <w:r w:rsidR="0047783A" w:rsidRPr="00657CE7">
        <w:rPr>
          <w:rFonts w:ascii="Times New Roman" w:hAnsi="Times New Roman"/>
          <w:sz w:val="22"/>
        </w:rPr>
        <w:t>his tender procedure is not divided into lots.</w:t>
      </w:r>
    </w:p>
    <w:p w14:paraId="0D62B56F" w14:textId="77777777" w:rsidR="0047783A" w:rsidRPr="00657CE7" w:rsidRDefault="0047783A" w:rsidP="00A4424B">
      <w:pPr>
        <w:pStyle w:val="Heading1"/>
      </w:pPr>
      <w:bookmarkStart w:id="16" w:name="_Toc42488077"/>
      <w:r w:rsidRPr="00657CE7">
        <w:t>Period of validity</w:t>
      </w:r>
      <w:bookmarkEnd w:id="16"/>
    </w:p>
    <w:p w14:paraId="1ED72351"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3E72928C"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C6CE092"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07F02778" w14:textId="77777777" w:rsidR="0047783A" w:rsidRPr="00E82463" w:rsidRDefault="0047783A" w:rsidP="00A4424B">
      <w:pPr>
        <w:pStyle w:val="Heading1"/>
      </w:pPr>
      <w:bookmarkStart w:id="17" w:name="_Toc42488078"/>
      <w:bookmarkStart w:id="18" w:name="_Ref500330462"/>
      <w:r w:rsidRPr="00E82463">
        <w:lastRenderedPageBreak/>
        <w:t xml:space="preserve">Language of </w:t>
      </w:r>
      <w:bookmarkEnd w:id="17"/>
      <w:r w:rsidR="009A3A53" w:rsidRPr="00E82463">
        <w:t>tenders</w:t>
      </w:r>
    </w:p>
    <w:bookmarkEnd w:id="18"/>
    <w:p w14:paraId="2326E5A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2646422B"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70652C0F" w14:textId="77777777" w:rsidR="0047783A" w:rsidRPr="00E82463" w:rsidRDefault="0047783A" w:rsidP="00A4424B">
      <w:pPr>
        <w:pStyle w:val="Heading1"/>
      </w:pPr>
      <w:bookmarkStart w:id="19" w:name="_Toc42488079"/>
      <w:r w:rsidRPr="00E82463">
        <w:t>Submission of tenders</w:t>
      </w:r>
      <w:bookmarkEnd w:id="19"/>
    </w:p>
    <w:p w14:paraId="74581D61" w14:textId="77777777" w:rsidR="0047783A" w:rsidRPr="00E82463" w:rsidRDefault="0047783A" w:rsidP="0047783A">
      <w:pPr>
        <w:pStyle w:val="Heading2"/>
        <w:keepNext w:val="0"/>
        <w:ind w:left="567" w:hanging="567"/>
        <w:jc w:val="both"/>
        <w:rPr>
          <w:rFonts w:ascii="Times New Roman" w:hAnsi="Times New Roman"/>
          <w:lang w:val="en-GB"/>
        </w:rPr>
      </w:pPr>
      <w:bookmarkStart w:id="20"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20"/>
    <w:p w14:paraId="43ECD36C" w14:textId="77777777" w:rsidR="00657CE7" w:rsidRPr="00657CE7" w:rsidRDefault="00657CE7" w:rsidP="00657CE7">
      <w:pPr>
        <w:spacing w:before="0"/>
        <w:ind w:left="567"/>
        <w:jc w:val="both"/>
        <w:rPr>
          <w:rFonts w:ascii="Times New Roman" w:hAnsi="Times New Roman"/>
          <w:b/>
          <w:sz w:val="22"/>
        </w:rPr>
      </w:pPr>
      <w:r w:rsidRPr="00657CE7">
        <w:rPr>
          <w:rFonts w:ascii="Times New Roman" w:hAnsi="Times New Roman"/>
          <w:b/>
          <w:sz w:val="22"/>
        </w:rPr>
        <w:t>City of Novi Sad, City Administration for Property and Property-Rights Affairs</w:t>
      </w:r>
    </w:p>
    <w:p w14:paraId="6F779F23" w14:textId="77777777" w:rsidR="00657CE7" w:rsidRPr="00657CE7" w:rsidRDefault="00657CE7" w:rsidP="00657CE7">
      <w:pPr>
        <w:spacing w:before="0"/>
        <w:ind w:left="567"/>
        <w:jc w:val="both"/>
        <w:rPr>
          <w:rFonts w:ascii="Times New Roman" w:hAnsi="Times New Roman"/>
          <w:b/>
          <w:sz w:val="22"/>
        </w:rPr>
      </w:pPr>
      <w:r w:rsidRPr="00657CE7">
        <w:rPr>
          <w:rFonts w:ascii="Times New Roman" w:hAnsi="Times New Roman"/>
          <w:b/>
          <w:sz w:val="22"/>
        </w:rPr>
        <w:t>Narodnog Fronta 53, 21000 Novi Sad</w:t>
      </w:r>
    </w:p>
    <w:p w14:paraId="736BFBA9" w14:textId="5B20F7CD" w:rsidR="0047783A" w:rsidRPr="00E82463" w:rsidRDefault="00657CE7" w:rsidP="00657CE7">
      <w:pPr>
        <w:spacing w:before="0"/>
        <w:ind w:left="567"/>
        <w:jc w:val="both"/>
        <w:rPr>
          <w:rFonts w:ascii="Times New Roman" w:hAnsi="Times New Roman"/>
          <w:sz w:val="22"/>
        </w:rPr>
      </w:pPr>
      <w:r w:rsidRPr="00657CE7">
        <w:rPr>
          <w:rFonts w:ascii="Times New Roman" w:hAnsi="Times New Roman"/>
          <w:b/>
          <w:sz w:val="22"/>
        </w:rPr>
        <w:t>Republic of Serbia</w:t>
      </w:r>
    </w:p>
    <w:p w14:paraId="10A2721E"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57617A70" w14:textId="77777777" w:rsidR="00657CE7" w:rsidRPr="00657CE7" w:rsidRDefault="00657CE7" w:rsidP="00657CE7">
      <w:pPr>
        <w:spacing w:before="0"/>
        <w:ind w:left="567"/>
        <w:jc w:val="both"/>
        <w:rPr>
          <w:rFonts w:ascii="Times New Roman" w:hAnsi="Times New Roman"/>
          <w:b/>
          <w:sz w:val="22"/>
        </w:rPr>
      </w:pPr>
      <w:r w:rsidRPr="00657CE7">
        <w:rPr>
          <w:rFonts w:ascii="Times New Roman" w:hAnsi="Times New Roman"/>
          <w:b/>
          <w:sz w:val="22"/>
        </w:rPr>
        <w:t>Mirjana Marković, director</w:t>
      </w:r>
    </w:p>
    <w:p w14:paraId="51A3096E" w14:textId="77777777" w:rsidR="00657CE7" w:rsidRPr="00657CE7" w:rsidRDefault="00657CE7" w:rsidP="00657CE7">
      <w:pPr>
        <w:spacing w:before="0"/>
        <w:ind w:left="567"/>
        <w:jc w:val="both"/>
        <w:rPr>
          <w:rFonts w:ascii="Times New Roman" w:hAnsi="Times New Roman"/>
          <w:b/>
          <w:sz w:val="22"/>
        </w:rPr>
      </w:pPr>
      <w:r w:rsidRPr="00657CE7">
        <w:rPr>
          <w:rFonts w:ascii="Times New Roman" w:hAnsi="Times New Roman"/>
          <w:b/>
          <w:sz w:val="22"/>
        </w:rPr>
        <w:t>City of Novi Sad, City Administration for Property and Property-Rights Affairs</w:t>
      </w:r>
    </w:p>
    <w:p w14:paraId="76ADACA1" w14:textId="77777777" w:rsidR="00657CE7" w:rsidRPr="00657CE7" w:rsidRDefault="00657CE7" w:rsidP="00657CE7">
      <w:pPr>
        <w:spacing w:before="0"/>
        <w:ind w:left="567"/>
        <w:jc w:val="both"/>
        <w:rPr>
          <w:rFonts w:ascii="Times New Roman" w:hAnsi="Times New Roman"/>
          <w:b/>
          <w:sz w:val="22"/>
        </w:rPr>
      </w:pPr>
      <w:r w:rsidRPr="00657CE7">
        <w:rPr>
          <w:rFonts w:ascii="Times New Roman" w:hAnsi="Times New Roman"/>
          <w:b/>
          <w:sz w:val="22"/>
        </w:rPr>
        <w:t>Narodnog Fronta 53, 21000 Novi Sad</w:t>
      </w:r>
    </w:p>
    <w:p w14:paraId="430095C8" w14:textId="7FC49D5D" w:rsidR="0047783A" w:rsidRPr="00E82463" w:rsidRDefault="00657CE7" w:rsidP="00657CE7">
      <w:pPr>
        <w:spacing w:before="0"/>
        <w:ind w:left="567"/>
        <w:jc w:val="both"/>
        <w:rPr>
          <w:rFonts w:ascii="Times New Roman" w:hAnsi="Times New Roman"/>
          <w:sz w:val="22"/>
        </w:rPr>
      </w:pPr>
      <w:r w:rsidRPr="00657CE7">
        <w:rPr>
          <w:rFonts w:ascii="Times New Roman" w:hAnsi="Times New Roman"/>
          <w:b/>
          <w:sz w:val="22"/>
        </w:rPr>
        <w:t>Republic of Serbia</w:t>
      </w:r>
    </w:p>
    <w:p w14:paraId="087EEBEE"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082DCDE0" w14:textId="1DC218EA" w:rsidR="0047783A" w:rsidRPr="00E82463" w:rsidRDefault="0047783A" w:rsidP="0047783A">
      <w:pPr>
        <w:pStyle w:val="Heading2"/>
        <w:ind w:left="567" w:hanging="567"/>
        <w:jc w:val="both"/>
        <w:rPr>
          <w:rFonts w:ascii="Times New Roman" w:hAnsi="Times New Roman"/>
          <w:lang w:val="en-GB"/>
        </w:rPr>
      </w:pPr>
      <w:bookmarkStart w:id="21"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657CE7">
        <w:rPr>
          <w:rFonts w:ascii="Times New Roman" w:hAnsi="Times New Roman"/>
          <w:sz w:val="22"/>
          <w:lang w:val="en-GB"/>
        </w:rPr>
        <w:t>two</w:t>
      </w:r>
      <w:r w:rsidRPr="00E82463">
        <w:rPr>
          <w:rFonts w:ascii="Times New Roman" w:hAnsi="Times New Roman"/>
          <w:sz w:val="22"/>
          <w:lang w:val="en-GB"/>
        </w:rPr>
        <w:t xml:space="preserve"> copies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21"/>
    <w:p w14:paraId="603FB7A1" w14:textId="26DBF59B" w:rsidR="0086759F" w:rsidRDefault="0047783A" w:rsidP="00657CE7">
      <w:pPr>
        <w:spacing w:before="0"/>
        <w:ind w:left="567"/>
        <w:jc w:val="both"/>
        <w:rPr>
          <w:rFonts w:ascii="Times New Roman" w:hAnsi="Times New Roman"/>
          <w:sz w:val="22"/>
        </w:rPr>
      </w:pPr>
      <w:r w:rsidRPr="00E82463">
        <w:rPr>
          <w:rFonts w:ascii="Times New Roman" w:hAnsi="Times New Roman"/>
          <w:sz w:val="22"/>
        </w:rPr>
        <w:t>10.3</w:t>
      </w:r>
      <w:r w:rsidRPr="00E82463">
        <w:rPr>
          <w:rFonts w:ascii="Times New Roman" w:hAnsi="Times New Roman"/>
          <w:sz w:val="22"/>
        </w:rPr>
        <w:tab/>
        <w:t xml:space="preserve">All tenders must be </w:t>
      </w:r>
      <w:r w:rsidR="00740F25">
        <w:rPr>
          <w:rFonts w:ascii="Times New Roman" w:hAnsi="Times New Roman"/>
          <w:sz w:val="22"/>
        </w:rPr>
        <w:t>submitted to</w:t>
      </w:r>
      <w:r w:rsidRPr="00E82463">
        <w:rPr>
          <w:rFonts w:ascii="Times New Roman" w:hAnsi="Times New Roman"/>
          <w:sz w:val="22"/>
        </w:rPr>
        <w:t xml:space="preserve"> </w:t>
      </w:r>
      <w:bookmarkStart w:id="22" w:name="_Hlk40563324"/>
      <w:r w:rsidR="00657CE7" w:rsidRPr="00657CE7">
        <w:rPr>
          <w:rFonts w:ascii="Times New Roman" w:hAnsi="Times New Roman"/>
          <w:b/>
          <w:sz w:val="22"/>
        </w:rPr>
        <w:t>City of Novi Sad, City Administration for Property and Property-Rights Affairs</w:t>
      </w:r>
      <w:r w:rsidR="00657CE7">
        <w:rPr>
          <w:rFonts w:ascii="Times New Roman" w:hAnsi="Times New Roman"/>
          <w:b/>
          <w:sz w:val="22"/>
        </w:rPr>
        <w:t xml:space="preserve"> </w:t>
      </w:r>
      <w:r w:rsidR="00657CE7" w:rsidRPr="00657CE7">
        <w:rPr>
          <w:rFonts w:ascii="Times New Roman" w:hAnsi="Times New Roman"/>
          <w:b/>
          <w:sz w:val="22"/>
        </w:rPr>
        <w:t>Narodnog Fronta 53, 21000 Novi Sad</w:t>
      </w:r>
      <w:r w:rsidR="00657CE7">
        <w:rPr>
          <w:rFonts w:ascii="Times New Roman" w:hAnsi="Times New Roman"/>
          <w:b/>
          <w:sz w:val="22"/>
        </w:rPr>
        <w:t xml:space="preserve">, </w:t>
      </w:r>
      <w:r w:rsidR="00657CE7" w:rsidRPr="00657CE7">
        <w:rPr>
          <w:rFonts w:ascii="Times New Roman" w:hAnsi="Times New Roman"/>
          <w:b/>
          <w:sz w:val="22"/>
        </w:rPr>
        <w:t>Republic of Serbia</w:t>
      </w:r>
      <w:bookmarkEnd w:id="22"/>
      <w:r w:rsidR="00D8732D" w:rsidRPr="00E82463">
        <w:rPr>
          <w:rFonts w:ascii="Times New Roman" w:hAnsi="Times New Roman"/>
          <w:sz w:val="22"/>
        </w:rPr>
        <w:t xml:space="preserve"> </w:t>
      </w:r>
      <w:r w:rsidRPr="00E82463">
        <w:rPr>
          <w:rFonts w:ascii="Times New Roman" w:hAnsi="Times New Roman"/>
          <w:sz w:val="22"/>
        </w:rPr>
        <w:t xml:space="preserve">before the deadline </w:t>
      </w:r>
      <w:r w:rsidR="00657CE7" w:rsidRPr="00E07F05">
        <w:rPr>
          <w:rFonts w:ascii="Times New Roman" w:hAnsi="Times New Roman"/>
          <w:b/>
          <w:sz w:val="22"/>
        </w:rPr>
        <w:t>19/06/2020</w:t>
      </w:r>
      <w:r w:rsidR="00657CE7" w:rsidRPr="00657CE7">
        <w:rPr>
          <w:rFonts w:ascii="Times New Roman" w:hAnsi="Times New Roman"/>
          <w:sz w:val="22"/>
        </w:rPr>
        <w:t xml:space="preserve"> at </w:t>
      </w:r>
      <w:r w:rsidR="00657CE7" w:rsidRPr="00E07F05">
        <w:rPr>
          <w:rFonts w:ascii="Times New Roman" w:hAnsi="Times New Roman"/>
          <w:b/>
          <w:sz w:val="22"/>
        </w:rPr>
        <w:t>13:00 local time</w:t>
      </w:r>
      <w:r w:rsidRPr="00E82463">
        <w:rPr>
          <w:rFonts w:ascii="Times New Roman" w:hAnsi="Times New Roman"/>
          <w:sz w:val="22"/>
        </w:rPr>
        <w:t>,</w:t>
      </w:r>
    </w:p>
    <w:p w14:paraId="0774909B"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2"/>
      </w:r>
    </w:p>
    <w:p w14:paraId="1DDC3A1E"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24AE4008" w14:textId="31EBD1E8" w:rsidR="008B2A9C" w:rsidRPr="00C348C0" w:rsidRDefault="008B2A9C" w:rsidP="00E07F05">
      <w:pPr>
        <w:jc w:val="both"/>
      </w:pPr>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Pr>
          <w:rFonts w:ascii="Times New Roman" w:hAnsi="Times New Roman"/>
          <w:sz w:val="22"/>
          <w:szCs w:val="22"/>
        </w:rPr>
        <w:t xml:space="preserve"> </w:t>
      </w:r>
      <w:r w:rsidRPr="00C348C0">
        <w:rPr>
          <w:rFonts w:ascii="Times New Roman" w:hAnsi="Times New Roman"/>
          <w:sz w:val="22"/>
          <w:szCs w:val="22"/>
        </w:rPr>
        <w:t>or jeopardise decisions already taken and notified</w:t>
      </w:r>
      <w:r w:rsidRPr="008B2A9C">
        <w:t>.</w:t>
      </w:r>
    </w:p>
    <w:p w14:paraId="4BDB300C"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32CF1E97"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lastRenderedPageBreak/>
        <w:t>a)</w:t>
      </w:r>
      <w:r w:rsidRPr="00E82463">
        <w:rPr>
          <w:rFonts w:ascii="Times New Roman" w:hAnsi="Times New Roman"/>
          <w:sz w:val="22"/>
        </w:rPr>
        <w:tab/>
        <w:t>the above address;</w:t>
      </w:r>
    </w:p>
    <w:p w14:paraId="4ED565B7" w14:textId="448380AE"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 xml:space="preserve">the reference code of this tender procedure, (i.e. </w:t>
      </w:r>
      <w:r w:rsidR="00657CE7" w:rsidRPr="00E07F05">
        <w:rPr>
          <w:rFonts w:ascii="Times New Roman" w:hAnsi="Times New Roman"/>
          <w:b/>
          <w:sz w:val="22"/>
        </w:rPr>
        <w:t>HR-RS290 – IPA PP3 – TD04</w:t>
      </w:r>
      <w:r w:rsidRPr="00E82463">
        <w:rPr>
          <w:rFonts w:ascii="Times New Roman" w:hAnsi="Times New Roman"/>
          <w:sz w:val="22"/>
        </w:rPr>
        <w:t>);</w:t>
      </w:r>
    </w:p>
    <w:p w14:paraId="6BABF5AB"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3EFC994E" w14:textId="3B98C12E"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57CE7">
        <w:rPr>
          <w:rFonts w:ascii="Times New Roman" w:hAnsi="Times New Roman"/>
          <w:sz w:val="22"/>
        </w:rPr>
        <w:t>“</w:t>
      </w:r>
      <w:r w:rsidRPr="00E82463">
        <w:rPr>
          <w:rFonts w:ascii="Times New Roman" w:hAnsi="Times New Roman"/>
          <w:sz w:val="22"/>
        </w:rPr>
        <w:t>Not to be opened before the tender opening session</w:t>
      </w:r>
      <w:r w:rsidR="00657CE7">
        <w:rPr>
          <w:rFonts w:ascii="Times New Roman" w:hAnsi="Times New Roman"/>
          <w:sz w:val="22"/>
        </w:rPr>
        <w:t>”</w:t>
      </w:r>
      <w:r w:rsidRPr="00E82463">
        <w:rPr>
          <w:rFonts w:ascii="Times New Roman" w:hAnsi="Times New Roman"/>
          <w:sz w:val="22"/>
        </w:rPr>
        <w:t xml:space="preserve"> in the language of the tender dossier and </w:t>
      </w:r>
      <w:r w:rsidR="00657CE7">
        <w:rPr>
          <w:rFonts w:ascii="Times New Roman" w:hAnsi="Times New Roman"/>
          <w:sz w:val="22"/>
        </w:rPr>
        <w:t>“</w:t>
      </w:r>
      <w:r w:rsidR="00657CE7" w:rsidRPr="00657CE7">
        <w:rPr>
          <w:rFonts w:ascii="Times New Roman" w:hAnsi="Times New Roman"/>
          <w:sz w:val="22"/>
        </w:rPr>
        <w:t>Ne otvarati pre sastanka za otvaranje ponuda</w:t>
      </w:r>
      <w:r w:rsidR="00657CE7">
        <w:rPr>
          <w:rFonts w:ascii="Times New Roman" w:hAnsi="Times New Roman"/>
          <w:sz w:val="22"/>
        </w:rPr>
        <w:t>”</w:t>
      </w:r>
      <w:r w:rsidRPr="00E82463">
        <w:rPr>
          <w:rFonts w:ascii="Times New Roman" w:hAnsi="Times New Roman"/>
          <w:sz w:val="22"/>
        </w:rPr>
        <w:t>.</w:t>
      </w:r>
    </w:p>
    <w:p w14:paraId="7B922CA9"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31C83BBE"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69A8B4AC" w14:textId="77777777" w:rsidR="0047783A" w:rsidRPr="00E82463" w:rsidRDefault="0047783A" w:rsidP="00A4424B">
      <w:pPr>
        <w:pStyle w:val="Heading1"/>
      </w:pPr>
      <w:bookmarkStart w:id="23" w:name="_Toc42488080"/>
      <w:r w:rsidRPr="00E82463">
        <w:t>Content of tenders</w:t>
      </w:r>
      <w:bookmarkEnd w:id="23"/>
    </w:p>
    <w:p w14:paraId="082823B9"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06EF1FA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1E9D893B" w14:textId="1C02F2D5" w:rsidR="0047783A" w:rsidRPr="00E82463"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E46B03">
        <w:rPr>
          <w:rFonts w:ascii="Times New Roman" w:hAnsi="Times New Roman"/>
          <w:sz w:val="22"/>
          <w:szCs w:val="22"/>
          <w:lang w:val="en-GB"/>
        </w:rPr>
        <w:t>.</w:t>
      </w:r>
    </w:p>
    <w:p w14:paraId="2DB62BFF"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40C2A1EA"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07A8774" w14:textId="3F47D5B4" w:rsidR="0047783A" w:rsidRPr="00E46B03" w:rsidRDefault="0047783A" w:rsidP="00E46B03">
      <w:pPr>
        <w:pStyle w:val="Heading2"/>
        <w:keepNext w:val="0"/>
        <w:numPr>
          <w:ilvl w:val="0"/>
          <w:numId w:val="6"/>
        </w:numPr>
        <w:tabs>
          <w:tab w:val="clear" w:pos="1211"/>
          <w:tab w:val="num" w:pos="1134"/>
        </w:tabs>
        <w:spacing w:before="0" w:after="0"/>
        <w:ind w:left="1135" w:hanging="568"/>
        <w:rPr>
          <w:rFonts w:ascii="Times New Roman" w:hAnsi="Times New Roman"/>
          <w:sz w:val="22"/>
          <w:szCs w:val="22"/>
        </w:rPr>
      </w:pPr>
      <w:r w:rsidRPr="00E46B03">
        <w:rPr>
          <w:rFonts w:ascii="Times New Roman" w:hAnsi="Times New Roman"/>
          <w:sz w:val="22"/>
          <w:szCs w:val="22"/>
          <w:lang w:val="en-GB"/>
        </w:rPr>
        <w:t>A financial offer calculated on a DD</w:t>
      </w:r>
      <w:r w:rsidR="00E46B03" w:rsidRPr="00E46B03">
        <w:rPr>
          <w:rFonts w:ascii="Times New Roman" w:hAnsi="Times New Roman"/>
          <w:sz w:val="22"/>
          <w:szCs w:val="22"/>
          <w:lang w:val="en-GB"/>
        </w:rPr>
        <w:t>P</w:t>
      </w:r>
      <w:r w:rsidRPr="00E46B03">
        <w:rPr>
          <w:rStyle w:val="FootnoteReference"/>
          <w:rFonts w:ascii="Times New Roman" w:hAnsi="Times New Roman"/>
        </w:rPr>
        <w:footnoteReference w:id="3"/>
      </w:r>
      <w:r w:rsidRPr="00E46B03">
        <w:rPr>
          <w:rFonts w:ascii="Times New Roman" w:hAnsi="Times New Roman"/>
          <w:sz w:val="22"/>
          <w:szCs w:val="22"/>
          <w:lang w:val="en-GB"/>
        </w:rPr>
        <w:t xml:space="preserve"> </w:t>
      </w:r>
      <w:r w:rsidR="000665DF" w:rsidRPr="00E46B03">
        <w:rPr>
          <w:rFonts w:ascii="Times New Roman" w:hAnsi="Times New Roman"/>
          <w:sz w:val="22"/>
          <w:szCs w:val="22"/>
          <w:lang w:val="en-GB"/>
        </w:rPr>
        <w:t xml:space="preserve">basis </w:t>
      </w:r>
      <w:r w:rsidRPr="00E46B03">
        <w:rPr>
          <w:rFonts w:ascii="Times New Roman" w:hAnsi="Times New Roman"/>
          <w:sz w:val="22"/>
          <w:szCs w:val="22"/>
          <w:lang w:val="en-GB"/>
        </w:rPr>
        <w:t>for the supplies tendered</w:t>
      </w:r>
      <w:r w:rsidR="00E46B03" w:rsidRPr="00E46B03">
        <w:rPr>
          <w:rFonts w:ascii="Times New Roman" w:hAnsi="Times New Roman"/>
          <w:sz w:val="22"/>
          <w:szCs w:val="22"/>
          <w:lang w:val="en-GB"/>
        </w:rPr>
        <w:t>.</w:t>
      </w:r>
    </w:p>
    <w:p w14:paraId="72F9F554" w14:textId="77777777" w:rsidR="0047783A" w:rsidRPr="00E82463" w:rsidRDefault="0047783A" w:rsidP="0047783A">
      <w:pPr>
        <w:spacing w:after="0"/>
        <w:ind w:left="567"/>
        <w:rPr>
          <w:rFonts w:ascii="Times New Roman" w:hAnsi="Times New Roman"/>
          <w:sz w:val="22"/>
          <w:szCs w:val="22"/>
        </w:rPr>
      </w:pPr>
      <w:r w:rsidRPr="00E46B03">
        <w:rPr>
          <w:rFonts w:ascii="Times New Roman" w:hAnsi="Times New Roman"/>
          <w:sz w:val="22"/>
          <w:szCs w:val="22"/>
        </w:rPr>
        <w:t>This financial offer should be presented as per template (</w:t>
      </w:r>
      <w:r w:rsidR="000665DF" w:rsidRPr="00E46B03">
        <w:rPr>
          <w:rFonts w:ascii="Times New Roman" w:hAnsi="Times New Roman"/>
          <w:sz w:val="22"/>
          <w:szCs w:val="22"/>
        </w:rPr>
        <w:t>A</w:t>
      </w:r>
      <w:r w:rsidRPr="00E46B03">
        <w:rPr>
          <w:rFonts w:ascii="Times New Roman" w:hAnsi="Times New Roman"/>
          <w:sz w:val="22"/>
          <w:szCs w:val="22"/>
        </w:rPr>
        <w:t xml:space="preserve">nnex IV*, </w:t>
      </w:r>
      <w:r w:rsidR="000665DF" w:rsidRPr="00E46B03">
        <w:rPr>
          <w:rFonts w:ascii="Times New Roman" w:hAnsi="Times New Roman"/>
          <w:sz w:val="22"/>
          <w:szCs w:val="22"/>
        </w:rPr>
        <w:t>B</w:t>
      </w:r>
      <w:r w:rsidRPr="00E46B03">
        <w:rPr>
          <w:rFonts w:ascii="Times New Roman" w:hAnsi="Times New Roman"/>
          <w:sz w:val="22"/>
          <w:szCs w:val="22"/>
        </w:rPr>
        <w:t>udget breakdown),</w:t>
      </w:r>
      <w:r w:rsidR="000665DF" w:rsidRPr="00E46B03">
        <w:rPr>
          <w:rFonts w:ascii="Times New Roman" w:hAnsi="Times New Roman"/>
          <w:sz w:val="22"/>
          <w:szCs w:val="22"/>
        </w:rPr>
        <w:t xml:space="preserve"> adding </w:t>
      </w:r>
      <w:r w:rsidRPr="00E46B03">
        <w:rPr>
          <w:rFonts w:ascii="Times New Roman" w:hAnsi="Times New Roman"/>
          <w:sz w:val="22"/>
          <w:szCs w:val="22"/>
        </w:rPr>
        <w:t>separate sheets for details</w:t>
      </w:r>
      <w:r w:rsidR="000665DF" w:rsidRPr="00E46B03">
        <w:rPr>
          <w:rFonts w:ascii="Times New Roman" w:hAnsi="Times New Roman"/>
          <w:sz w:val="22"/>
          <w:szCs w:val="22"/>
        </w:rPr>
        <w:t xml:space="preserve"> if necessary</w:t>
      </w:r>
      <w:r w:rsidRPr="00E46B03">
        <w:rPr>
          <w:rFonts w:ascii="Times New Roman" w:hAnsi="Times New Roman"/>
          <w:sz w:val="22"/>
          <w:szCs w:val="22"/>
        </w:rPr>
        <w:t>.</w:t>
      </w:r>
    </w:p>
    <w:p w14:paraId="5AB4E158"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6835E394"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4E44E6B"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65A12394"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71DED442"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0C81CC9C"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6A932E0C" w14:textId="77777777" w:rsidR="0047783A" w:rsidRPr="00B82C7B"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lastRenderedPageBreak/>
        <w:t xml:space="preserve">A </w:t>
      </w:r>
      <w:r w:rsidRPr="00B82C7B">
        <w:rPr>
          <w:rFonts w:ascii="Times New Roman" w:hAnsi="Times New Roman"/>
          <w:sz w:val="22"/>
          <w:szCs w:val="22"/>
        </w:rPr>
        <w:t xml:space="preserve">description of the warranty conditions, which must be in accordance with the conditions laid down in Article 32 of the </w:t>
      </w:r>
      <w:r w:rsidR="005C1201" w:rsidRPr="00B82C7B">
        <w:rPr>
          <w:rFonts w:ascii="Times New Roman" w:hAnsi="Times New Roman"/>
          <w:sz w:val="22"/>
          <w:szCs w:val="22"/>
        </w:rPr>
        <w:t>g</w:t>
      </w:r>
      <w:r w:rsidRPr="00B82C7B">
        <w:rPr>
          <w:rFonts w:ascii="Times New Roman" w:hAnsi="Times New Roman"/>
          <w:sz w:val="22"/>
          <w:szCs w:val="22"/>
        </w:rPr>
        <w:t xml:space="preserve">eneral </w:t>
      </w:r>
      <w:r w:rsidR="005C1201" w:rsidRPr="00B82C7B">
        <w:rPr>
          <w:rFonts w:ascii="Times New Roman" w:hAnsi="Times New Roman"/>
          <w:sz w:val="22"/>
          <w:szCs w:val="22"/>
        </w:rPr>
        <w:t>c</w:t>
      </w:r>
      <w:r w:rsidRPr="00B82C7B">
        <w:rPr>
          <w:rFonts w:ascii="Times New Roman" w:hAnsi="Times New Roman"/>
          <w:sz w:val="22"/>
          <w:szCs w:val="22"/>
        </w:rPr>
        <w:t>onditions</w:t>
      </w:r>
      <w:r w:rsidRPr="00B82C7B">
        <w:rPr>
          <w:rFonts w:ascii="Times New Roman" w:hAnsi="Times New Roman"/>
          <w:color w:val="339966"/>
          <w:sz w:val="22"/>
          <w:szCs w:val="22"/>
        </w:rPr>
        <w:t>.</w:t>
      </w:r>
    </w:p>
    <w:p w14:paraId="2B5A7719" w14:textId="4E61202E" w:rsidR="0047783A" w:rsidRPr="00B82C7B"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B82C7B">
        <w:rPr>
          <w:rFonts w:ascii="Times New Roman" w:hAnsi="Times New Roman"/>
          <w:sz w:val="22"/>
          <w:szCs w:val="22"/>
        </w:rPr>
        <w:t xml:space="preserve">A description of the organisation of the commercial warranty tendered in accordance with the conditions laid down in Article 32 of the </w:t>
      </w:r>
      <w:r w:rsidR="005C1201" w:rsidRPr="00B82C7B">
        <w:rPr>
          <w:rFonts w:ascii="Times New Roman" w:hAnsi="Times New Roman"/>
          <w:sz w:val="22"/>
          <w:szCs w:val="22"/>
        </w:rPr>
        <w:t>s</w:t>
      </w:r>
      <w:r w:rsidRPr="00B82C7B">
        <w:rPr>
          <w:rFonts w:ascii="Times New Roman" w:hAnsi="Times New Roman"/>
          <w:sz w:val="22"/>
          <w:szCs w:val="22"/>
        </w:rPr>
        <w:t xml:space="preserve">pecial </w:t>
      </w:r>
      <w:r w:rsidR="005C1201" w:rsidRPr="00B82C7B">
        <w:rPr>
          <w:rFonts w:ascii="Times New Roman" w:hAnsi="Times New Roman"/>
          <w:sz w:val="22"/>
          <w:szCs w:val="22"/>
        </w:rPr>
        <w:t>c</w:t>
      </w:r>
      <w:r w:rsidRPr="00B82C7B">
        <w:rPr>
          <w:rFonts w:ascii="Times New Roman" w:hAnsi="Times New Roman"/>
          <w:sz w:val="22"/>
          <w:szCs w:val="22"/>
        </w:rPr>
        <w:t>onditions</w:t>
      </w:r>
      <w:r w:rsidR="00B82C7B">
        <w:rPr>
          <w:rFonts w:ascii="Times New Roman" w:hAnsi="Times New Roman"/>
          <w:sz w:val="22"/>
          <w:szCs w:val="22"/>
        </w:rPr>
        <w:t>.</w:t>
      </w:r>
    </w:p>
    <w:p w14:paraId="13A01ECF" w14:textId="73AFFBCD" w:rsidR="000D66C0" w:rsidRPr="00B82C7B" w:rsidRDefault="0047783A" w:rsidP="00B82C7B">
      <w:pPr>
        <w:numPr>
          <w:ilvl w:val="0"/>
          <w:numId w:val="6"/>
        </w:numPr>
        <w:tabs>
          <w:tab w:val="clear" w:pos="1211"/>
          <w:tab w:val="num" w:pos="1134"/>
        </w:tabs>
        <w:spacing w:after="0"/>
        <w:ind w:left="1135" w:hanging="568"/>
        <w:jc w:val="both"/>
        <w:rPr>
          <w:rFonts w:ascii="Times New Roman" w:hAnsi="Times New Roman"/>
          <w:sz w:val="22"/>
          <w:szCs w:val="22"/>
        </w:rPr>
      </w:pPr>
      <w:r w:rsidRPr="00B82C7B">
        <w:rPr>
          <w:rFonts w:ascii="Times New Roman" w:hAnsi="Times New Roman"/>
          <w:sz w:val="22"/>
          <w:szCs w:val="22"/>
        </w:rPr>
        <w:t>Duly authorised signature: an official</w:t>
      </w:r>
      <w:r w:rsidRPr="00E82463">
        <w:rPr>
          <w:rFonts w:ascii="Times New Roman" w:hAnsi="Times New Roman"/>
          <w:sz w:val="22"/>
          <w:szCs w:val="22"/>
        </w:rPr>
        <w:t xml:space="preserve">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00CA97A3"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7727F0AC"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5248F9FC"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54AB1588" w14:textId="77777777" w:rsidR="0047783A" w:rsidRPr="00E82463" w:rsidRDefault="0047783A" w:rsidP="00A4424B">
      <w:pPr>
        <w:pStyle w:val="Heading1"/>
      </w:pPr>
      <w:bookmarkStart w:id="24" w:name="_Toc42488081"/>
      <w:r w:rsidRPr="00E82463">
        <w:t>Taxes and other charges</w:t>
      </w:r>
      <w:bookmarkEnd w:id="24"/>
    </w:p>
    <w:p w14:paraId="4265EC35"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5B237303" w14:textId="26938567" w:rsidR="0047783A" w:rsidRPr="00E82463" w:rsidRDefault="00B82C7B" w:rsidP="00AC07D4">
      <w:pPr>
        <w:ind w:left="567"/>
        <w:jc w:val="both"/>
        <w:rPr>
          <w:rFonts w:ascii="Times New Roman" w:hAnsi="Times New Roman"/>
          <w:sz w:val="22"/>
          <w:szCs w:val="22"/>
        </w:rPr>
      </w:pPr>
      <w:bookmarkStart w:id="25" w:name="_Hlk40565261"/>
      <w:r w:rsidRPr="00607101">
        <w:rPr>
          <w:rFonts w:ascii="Times New Roman" w:hAnsi="Times New Roman"/>
          <w:sz w:val="22"/>
          <w:szCs w:val="22"/>
        </w:rPr>
        <w:t xml:space="preserve">The European Commission and Republic of Serbia and </w:t>
      </w:r>
      <w:r>
        <w:rPr>
          <w:rFonts w:ascii="Times New Roman" w:hAnsi="Times New Roman"/>
          <w:sz w:val="22"/>
          <w:szCs w:val="22"/>
        </w:rPr>
        <w:t>Croatia</w:t>
      </w:r>
      <w:r w:rsidRPr="00607101">
        <w:rPr>
          <w:rFonts w:ascii="Times New Roman" w:hAnsi="Times New Roman"/>
          <w:sz w:val="22"/>
          <w:szCs w:val="22"/>
        </w:rPr>
        <w:t xml:space="preserve"> have agreed in the Interreg IPA CBC </w:t>
      </w:r>
      <w:r>
        <w:rPr>
          <w:rFonts w:ascii="Times New Roman" w:hAnsi="Times New Roman"/>
          <w:sz w:val="22"/>
          <w:szCs w:val="22"/>
        </w:rPr>
        <w:t>Croatia</w:t>
      </w:r>
      <w:r w:rsidRPr="00607101">
        <w:rPr>
          <w:rFonts w:ascii="Times New Roman" w:hAnsi="Times New Roman"/>
          <w:sz w:val="22"/>
          <w:szCs w:val="22"/>
        </w:rPr>
        <w:t xml:space="preserve"> Serbia programme to allow full VAT exemption, except where it is non-recoverable under national VAT legislation</w:t>
      </w:r>
      <w:bookmarkEnd w:id="25"/>
      <w:r w:rsidR="00AD3744">
        <w:rPr>
          <w:rFonts w:ascii="Times New Roman" w:hAnsi="Times New Roman"/>
          <w:sz w:val="22"/>
          <w:szCs w:val="22"/>
        </w:rPr>
        <w:t>.</w:t>
      </w:r>
      <w:r w:rsidR="0047783A" w:rsidRPr="00E82463">
        <w:rPr>
          <w:rFonts w:ascii="Times New Roman" w:hAnsi="Times New Roman"/>
          <w:sz w:val="22"/>
          <w:szCs w:val="22"/>
        </w:rPr>
        <w:t xml:space="preserve"> </w:t>
      </w:r>
    </w:p>
    <w:p w14:paraId="644DA8CD" w14:textId="77777777" w:rsidR="0047783A" w:rsidRPr="00C348C0" w:rsidRDefault="0047783A" w:rsidP="00A4424B">
      <w:pPr>
        <w:pStyle w:val="Heading1"/>
        <w:rPr>
          <w:lang w:val="en-GB"/>
        </w:rPr>
      </w:pPr>
      <w:bookmarkStart w:id="26" w:name="_Toc42488082"/>
      <w:r w:rsidRPr="00C348C0">
        <w:rPr>
          <w:lang w:val="en-GB"/>
        </w:rPr>
        <w:t>Additional information before the deadline for submission of tenders</w:t>
      </w:r>
      <w:bookmarkEnd w:id="26"/>
    </w:p>
    <w:p w14:paraId="1251AA59"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6200E50F"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1A147312" w14:textId="77777777" w:rsidR="00B82C7B" w:rsidRPr="00B82C7B" w:rsidRDefault="00B82C7B" w:rsidP="00B82C7B">
      <w:pPr>
        <w:pStyle w:val="BodyText"/>
        <w:spacing w:before="0"/>
        <w:ind w:left="567"/>
        <w:rPr>
          <w:rFonts w:ascii="Times New Roman" w:hAnsi="Times New Roman"/>
          <w:b/>
          <w:bCs/>
          <w:sz w:val="22"/>
        </w:rPr>
      </w:pPr>
      <w:bookmarkStart w:id="27" w:name="_Hlk40572740"/>
      <w:r w:rsidRPr="00B82C7B">
        <w:rPr>
          <w:rFonts w:ascii="Times New Roman" w:hAnsi="Times New Roman"/>
          <w:b/>
          <w:bCs/>
          <w:sz w:val="22"/>
        </w:rPr>
        <w:t>Nemanja Martinović</w:t>
      </w:r>
    </w:p>
    <w:p w14:paraId="1D8F4332" w14:textId="77777777" w:rsidR="00B82C7B" w:rsidRPr="00B82C7B" w:rsidRDefault="00B82C7B" w:rsidP="00B82C7B">
      <w:pPr>
        <w:pStyle w:val="BodyText"/>
        <w:spacing w:before="0"/>
        <w:ind w:left="567"/>
        <w:rPr>
          <w:rFonts w:ascii="Times New Roman" w:hAnsi="Times New Roman"/>
          <w:b/>
          <w:bCs/>
          <w:sz w:val="22"/>
        </w:rPr>
      </w:pPr>
      <w:bookmarkStart w:id="28" w:name="_Hlk40572700"/>
      <w:r w:rsidRPr="00B82C7B">
        <w:rPr>
          <w:rFonts w:ascii="Times New Roman" w:hAnsi="Times New Roman"/>
          <w:b/>
          <w:bCs/>
          <w:sz w:val="22"/>
        </w:rPr>
        <w:t>City of Novi Sad, City Administration for Property and Property-Rights Affairs</w:t>
      </w:r>
    </w:p>
    <w:p w14:paraId="1C119DD9" w14:textId="5BDCC884" w:rsidR="00B82C7B" w:rsidRPr="00B82C7B" w:rsidRDefault="00B82C7B" w:rsidP="00B82C7B">
      <w:pPr>
        <w:pStyle w:val="BodyText"/>
        <w:spacing w:before="0"/>
        <w:ind w:left="567"/>
        <w:rPr>
          <w:rFonts w:ascii="Times New Roman" w:hAnsi="Times New Roman"/>
          <w:b/>
          <w:bCs/>
          <w:sz w:val="22"/>
        </w:rPr>
      </w:pPr>
      <w:r w:rsidRPr="00B82C7B">
        <w:rPr>
          <w:rFonts w:ascii="Times New Roman" w:hAnsi="Times New Roman"/>
          <w:b/>
          <w:bCs/>
          <w:sz w:val="22"/>
        </w:rPr>
        <w:t>Narodnog Fronta 53, 21000 Novi Sad</w:t>
      </w:r>
      <w:r w:rsidR="001C7060">
        <w:rPr>
          <w:rFonts w:ascii="Times New Roman" w:hAnsi="Times New Roman"/>
          <w:b/>
          <w:bCs/>
          <w:sz w:val="22"/>
        </w:rPr>
        <w:t xml:space="preserve">, </w:t>
      </w:r>
      <w:r w:rsidR="001C7060" w:rsidRPr="00657CE7">
        <w:rPr>
          <w:rFonts w:ascii="Times New Roman" w:hAnsi="Times New Roman"/>
          <w:b/>
          <w:sz w:val="22"/>
        </w:rPr>
        <w:t>Republic of Serbia</w:t>
      </w:r>
      <w:bookmarkEnd w:id="27"/>
      <w:bookmarkEnd w:id="28"/>
    </w:p>
    <w:p w14:paraId="57604A4A" w14:textId="018F0160" w:rsidR="0047783A" w:rsidRPr="00B82C7B" w:rsidRDefault="00B82C7B" w:rsidP="00B82C7B">
      <w:pPr>
        <w:pStyle w:val="BodyText"/>
        <w:spacing w:before="0"/>
        <w:ind w:left="567"/>
        <w:rPr>
          <w:rFonts w:ascii="Times New Roman" w:hAnsi="Times New Roman"/>
          <w:b/>
          <w:bCs/>
        </w:rPr>
      </w:pPr>
      <w:r w:rsidRPr="00B82C7B">
        <w:rPr>
          <w:rFonts w:ascii="Times New Roman" w:hAnsi="Times New Roman"/>
          <w:b/>
          <w:bCs/>
          <w:sz w:val="22"/>
        </w:rPr>
        <w:t xml:space="preserve">E-mail: </w:t>
      </w:r>
      <w:bookmarkStart w:id="29" w:name="_Hlk40571124"/>
      <w:r w:rsidR="00E07F05">
        <w:rPr>
          <w:rFonts w:ascii="Times New Roman" w:hAnsi="Times New Roman"/>
          <w:b/>
          <w:bCs/>
          <w:sz w:val="22"/>
        </w:rPr>
        <w:fldChar w:fldCharType="begin"/>
      </w:r>
      <w:r w:rsidR="00E07F05">
        <w:rPr>
          <w:rFonts w:ascii="Times New Roman" w:hAnsi="Times New Roman"/>
          <w:b/>
          <w:bCs/>
          <w:sz w:val="22"/>
        </w:rPr>
        <w:instrText xml:space="preserve"> HYPERLINK "mailto:</w:instrText>
      </w:r>
      <w:r w:rsidR="00E07F05" w:rsidRPr="00B82C7B">
        <w:rPr>
          <w:rFonts w:ascii="Times New Roman" w:hAnsi="Times New Roman"/>
          <w:b/>
          <w:bCs/>
          <w:sz w:val="22"/>
        </w:rPr>
        <w:instrText>nemanja.martinovic@uprava.novisad.rs</w:instrText>
      </w:r>
      <w:r w:rsidR="00E07F05">
        <w:rPr>
          <w:rFonts w:ascii="Times New Roman" w:hAnsi="Times New Roman"/>
          <w:b/>
          <w:bCs/>
          <w:sz w:val="22"/>
        </w:rPr>
        <w:instrText xml:space="preserve">" </w:instrText>
      </w:r>
      <w:r w:rsidR="00E07F05">
        <w:rPr>
          <w:rFonts w:ascii="Times New Roman" w:hAnsi="Times New Roman"/>
          <w:b/>
          <w:bCs/>
          <w:sz w:val="22"/>
        </w:rPr>
        <w:fldChar w:fldCharType="separate"/>
      </w:r>
      <w:r w:rsidR="00E07F05" w:rsidRPr="00E36973">
        <w:rPr>
          <w:rStyle w:val="Hyperlink"/>
          <w:rFonts w:ascii="Times New Roman" w:hAnsi="Times New Roman"/>
          <w:b/>
          <w:bCs/>
          <w:sz w:val="22"/>
        </w:rPr>
        <w:t>nemanja.martinovic@uprava.novisad.rs</w:t>
      </w:r>
      <w:bookmarkEnd w:id="29"/>
      <w:r w:rsidR="00E07F05">
        <w:rPr>
          <w:rFonts w:ascii="Times New Roman" w:hAnsi="Times New Roman"/>
          <w:b/>
          <w:bCs/>
          <w:sz w:val="22"/>
        </w:rPr>
        <w:fldChar w:fldCharType="end"/>
      </w:r>
      <w:r w:rsidR="00E07F05">
        <w:rPr>
          <w:rFonts w:ascii="Times New Roman" w:hAnsi="Times New Roman"/>
          <w:b/>
          <w:bCs/>
          <w:sz w:val="22"/>
        </w:rPr>
        <w:t xml:space="preserve"> </w:t>
      </w:r>
    </w:p>
    <w:p w14:paraId="240ECA8F" w14:textId="77777777" w:rsidR="0047783A" w:rsidRPr="00B82C7B"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 xml:space="preserve">uthority has </w:t>
      </w:r>
      <w:r w:rsidRPr="00B82C7B">
        <w:rPr>
          <w:rFonts w:ascii="Times New Roman" w:hAnsi="Times New Roman"/>
          <w:sz w:val="22"/>
          <w:szCs w:val="22"/>
        </w:rPr>
        <w:t>no obligation to provide clarifications after this date.</w:t>
      </w:r>
    </w:p>
    <w:p w14:paraId="667D82F9" w14:textId="1E5BC033" w:rsidR="0047783A" w:rsidRPr="00B82C7B" w:rsidRDefault="0047783A" w:rsidP="00AC07D4">
      <w:pPr>
        <w:pStyle w:val="BodyText"/>
        <w:ind w:left="567"/>
        <w:jc w:val="both"/>
        <w:rPr>
          <w:rFonts w:ascii="Times New Roman" w:hAnsi="Times New Roman"/>
          <w:sz w:val="22"/>
          <w:szCs w:val="22"/>
        </w:rPr>
      </w:pPr>
      <w:r w:rsidRPr="00B82C7B">
        <w:rPr>
          <w:rFonts w:ascii="Times New Roman" w:hAnsi="Times New Roman"/>
          <w:sz w:val="22"/>
          <w:szCs w:val="22"/>
        </w:rPr>
        <w:t xml:space="preserve">Any clarification of the tender dossier will be published on the </w:t>
      </w:r>
      <w:bookmarkStart w:id="30" w:name="_Hlk40571162"/>
      <w:r w:rsidR="00B82C7B" w:rsidRPr="00B82C7B">
        <w:rPr>
          <w:rFonts w:ascii="Times New Roman" w:hAnsi="Times New Roman"/>
          <w:sz w:val="22"/>
          <w:szCs w:val="22"/>
        </w:rPr>
        <w:t xml:space="preserve">City of Novi Sad website: </w:t>
      </w:r>
      <w:hyperlink r:id="rId10" w:history="1">
        <w:r w:rsidR="00B82C7B" w:rsidRPr="00B82C7B">
          <w:rPr>
            <w:rStyle w:val="Hyperlink"/>
            <w:rFonts w:ascii="Times New Roman" w:hAnsi="Times New Roman"/>
            <w:sz w:val="22"/>
            <w:szCs w:val="22"/>
          </w:rPr>
          <w:t>http://www.novisad.rs/docs-gu-all</w:t>
        </w:r>
      </w:hyperlink>
      <w:bookmarkEnd w:id="30"/>
      <w:r w:rsidR="00B82C7B" w:rsidRPr="00B82C7B">
        <w:rPr>
          <w:rFonts w:ascii="Times New Roman" w:hAnsi="Times New Roman"/>
          <w:sz w:val="22"/>
          <w:szCs w:val="22"/>
        </w:rPr>
        <w:t>.</w:t>
      </w:r>
      <w:r w:rsidRPr="00B82C7B">
        <w:rPr>
          <w:rFonts w:ascii="Times New Roman" w:hAnsi="Times New Roman"/>
          <w:sz w:val="22"/>
          <w:szCs w:val="22"/>
        </w:rPr>
        <w:t xml:space="preserve"> at the latest 11 days before the deadline for submission of tenders.</w:t>
      </w:r>
    </w:p>
    <w:p w14:paraId="78167F0B"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1214BB1D" w14:textId="77777777" w:rsidR="0047783A" w:rsidRPr="00E82463" w:rsidRDefault="0047783A" w:rsidP="00A4424B">
      <w:pPr>
        <w:pStyle w:val="Heading1"/>
      </w:pPr>
      <w:bookmarkStart w:id="31" w:name="_Toc42488083"/>
      <w:r w:rsidRPr="00E82463">
        <w:t>Clarification meeting / site visit</w:t>
      </w:r>
      <w:bookmarkEnd w:id="31"/>
    </w:p>
    <w:p w14:paraId="010B4959" w14:textId="402AEA37" w:rsidR="0047783A" w:rsidRPr="00B82C7B" w:rsidRDefault="0047783A" w:rsidP="00AC07D4">
      <w:pPr>
        <w:pStyle w:val="BodyText"/>
        <w:ind w:left="567" w:hanging="567"/>
        <w:rPr>
          <w:rFonts w:ascii="Times New Roman" w:hAnsi="Times New Roman"/>
          <w:sz w:val="22"/>
          <w:szCs w:val="22"/>
        </w:rPr>
      </w:pPr>
      <w:r w:rsidRPr="00B82C7B">
        <w:rPr>
          <w:rFonts w:ascii="Times New Roman" w:hAnsi="Times New Roman"/>
          <w:sz w:val="22"/>
          <w:szCs w:val="22"/>
        </w:rPr>
        <w:t>14.1</w:t>
      </w:r>
      <w:r w:rsidRPr="00B82C7B">
        <w:rPr>
          <w:rFonts w:ascii="Times New Roman" w:hAnsi="Times New Roman"/>
          <w:sz w:val="22"/>
          <w:szCs w:val="22"/>
        </w:rPr>
        <w:tab/>
        <w:t xml:space="preserve">No clarification meeting / site visit planned. Visits by individual prospective tenderers during the tender period cannot be organised. </w:t>
      </w:r>
    </w:p>
    <w:p w14:paraId="65B5805A" w14:textId="77777777" w:rsidR="0047783A" w:rsidRPr="00B82C7B" w:rsidRDefault="0047783A" w:rsidP="00A4424B">
      <w:pPr>
        <w:pStyle w:val="Heading1"/>
      </w:pPr>
      <w:bookmarkStart w:id="32" w:name="_Toc42488084"/>
      <w:r w:rsidRPr="00B82C7B">
        <w:lastRenderedPageBreak/>
        <w:t>Alteration or withdrawal of tenders</w:t>
      </w:r>
      <w:bookmarkEnd w:id="32"/>
    </w:p>
    <w:p w14:paraId="7F09FC4B"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3D20D64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2FC89C7C"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3E281A36" w14:textId="77777777" w:rsidR="0047783A" w:rsidRPr="00E82463" w:rsidRDefault="0047783A" w:rsidP="00A4424B">
      <w:pPr>
        <w:pStyle w:val="Heading1"/>
      </w:pPr>
      <w:bookmarkStart w:id="33" w:name="_Toc42488085"/>
      <w:r w:rsidRPr="00E82463">
        <w:t>Costs of preparing tenders</w:t>
      </w:r>
      <w:bookmarkEnd w:id="33"/>
    </w:p>
    <w:p w14:paraId="2382694D"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5D0E8716" w14:textId="77777777" w:rsidR="0047783A" w:rsidRPr="00E82463" w:rsidRDefault="0047783A" w:rsidP="00A4424B">
      <w:pPr>
        <w:pStyle w:val="Heading1"/>
      </w:pPr>
      <w:bookmarkStart w:id="34" w:name="_Toc42488086"/>
      <w:r w:rsidRPr="00E82463">
        <w:t>Ownership of tenders</w:t>
      </w:r>
      <w:bookmarkEnd w:id="34"/>
    </w:p>
    <w:p w14:paraId="11614836"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5C1C04B3" w14:textId="77777777" w:rsidR="0047783A" w:rsidRPr="00E82463" w:rsidRDefault="0047783A" w:rsidP="00A4424B">
      <w:pPr>
        <w:pStyle w:val="Heading1"/>
      </w:pPr>
      <w:bookmarkStart w:id="35" w:name="_Toc42488087"/>
      <w:r w:rsidRPr="00E82463">
        <w:t>Joint venture or consortium</w:t>
      </w:r>
      <w:bookmarkEnd w:id="35"/>
    </w:p>
    <w:p w14:paraId="39ED3300"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5BCA570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7C795AB7" w14:textId="77777777" w:rsidR="0047783A" w:rsidRPr="00E82463" w:rsidRDefault="0047783A" w:rsidP="00A4424B">
      <w:pPr>
        <w:pStyle w:val="Heading1"/>
      </w:pPr>
      <w:bookmarkStart w:id="36" w:name="_Toc42488088"/>
      <w:r w:rsidRPr="00E82463">
        <w:t>Opening of tenders</w:t>
      </w:r>
      <w:bookmarkEnd w:id="36"/>
    </w:p>
    <w:p w14:paraId="569A2101"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71F10D62" w14:textId="03DE4505"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bookmarkStart w:id="37" w:name="_Hlk40572798"/>
      <w:r w:rsidR="00B82C7B">
        <w:rPr>
          <w:rFonts w:ascii="Times New Roman" w:hAnsi="Times New Roman"/>
          <w:b/>
          <w:bCs/>
          <w:sz w:val="22"/>
          <w:lang w:val="en-GB"/>
        </w:rPr>
        <w:t>2</w:t>
      </w:r>
      <w:r w:rsidR="001C7060">
        <w:rPr>
          <w:rFonts w:ascii="Times New Roman" w:hAnsi="Times New Roman"/>
          <w:b/>
          <w:bCs/>
          <w:sz w:val="22"/>
          <w:lang w:val="en-GB"/>
        </w:rPr>
        <w:t>6</w:t>
      </w:r>
      <w:r w:rsidR="00B82C7B" w:rsidRPr="00B82C7B">
        <w:rPr>
          <w:rFonts w:ascii="Times New Roman" w:hAnsi="Times New Roman"/>
          <w:b/>
          <w:bCs/>
          <w:sz w:val="22"/>
          <w:lang w:val="en-GB"/>
        </w:rPr>
        <w:t>/06/2020 at 1</w:t>
      </w:r>
      <w:r w:rsidR="00B82C7B">
        <w:rPr>
          <w:rFonts w:ascii="Times New Roman" w:hAnsi="Times New Roman"/>
          <w:b/>
          <w:bCs/>
          <w:sz w:val="22"/>
          <w:lang w:val="en-GB"/>
        </w:rPr>
        <w:t>1</w:t>
      </w:r>
      <w:r w:rsidR="00B82C7B" w:rsidRPr="00B82C7B">
        <w:rPr>
          <w:rFonts w:ascii="Times New Roman" w:hAnsi="Times New Roman"/>
          <w:b/>
          <w:bCs/>
          <w:sz w:val="22"/>
          <w:lang w:val="en-GB"/>
        </w:rPr>
        <w:t>:00</w:t>
      </w:r>
      <w:r w:rsidR="00B82C7B">
        <w:rPr>
          <w:rFonts w:ascii="Times New Roman" w:hAnsi="Times New Roman"/>
          <w:b/>
          <w:bCs/>
          <w:sz w:val="22"/>
          <w:lang w:val="en-GB"/>
        </w:rPr>
        <w:t xml:space="preserve"> am</w:t>
      </w:r>
      <w:r w:rsidR="00B82C7B" w:rsidRPr="00B82C7B">
        <w:rPr>
          <w:rFonts w:ascii="Times New Roman" w:hAnsi="Times New Roman"/>
          <w:b/>
          <w:bCs/>
          <w:sz w:val="22"/>
          <w:lang w:val="en-GB"/>
        </w:rPr>
        <w:t xml:space="preserve"> local time</w:t>
      </w:r>
      <w:r w:rsidRPr="00E82463">
        <w:rPr>
          <w:rFonts w:ascii="Times New Roman" w:hAnsi="Times New Roman"/>
          <w:sz w:val="22"/>
          <w:lang w:val="en-GB"/>
        </w:rPr>
        <w:t xml:space="preserve"> at </w:t>
      </w:r>
      <w:bookmarkStart w:id="38" w:name="_Hlk40565399"/>
      <w:r w:rsidR="00B82C7B" w:rsidRPr="00657CE7">
        <w:rPr>
          <w:rFonts w:ascii="Times New Roman" w:hAnsi="Times New Roman"/>
          <w:b/>
          <w:sz w:val="22"/>
        </w:rPr>
        <w:t>City of Novi Sad, City Administration for Property and Property-Rights Affairs</w:t>
      </w:r>
      <w:r w:rsidR="00B82C7B">
        <w:rPr>
          <w:rFonts w:ascii="Times New Roman" w:hAnsi="Times New Roman"/>
          <w:b/>
          <w:sz w:val="22"/>
        </w:rPr>
        <w:t xml:space="preserve"> </w:t>
      </w:r>
      <w:r w:rsidR="00B82C7B" w:rsidRPr="00657CE7">
        <w:rPr>
          <w:rFonts w:ascii="Times New Roman" w:hAnsi="Times New Roman"/>
          <w:b/>
          <w:sz w:val="22"/>
        </w:rPr>
        <w:t xml:space="preserve">Narodnog </w:t>
      </w:r>
      <w:r w:rsidR="00B82C7B" w:rsidRPr="00657CE7">
        <w:rPr>
          <w:rFonts w:ascii="Times New Roman" w:hAnsi="Times New Roman"/>
          <w:b/>
          <w:sz w:val="22"/>
        </w:rPr>
        <w:lastRenderedPageBreak/>
        <w:t>Fronta 53, 21000 Novi Sad</w:t>
      </w:r>
      <w:r w:rsidR="00B82C7B">
        <w:rPr>
          <w:rFonts w:ascii="Times New Roman" w:hAnsi="Times New Roman"/>
          <w:b/>
          <w:sz w:val="22"/>
        </w:rPr>
        <w:t xml:space="preserve">, </w:t>
      </w:r>
      <w:r w:rsidR="00B82C7B" w:rsidRPr="00657CE7">
        <w:rPr>
          <w:rFonts w:ascii="Times New Roman" w:hAnsi="Times New Roman"/>
          <w:b/>
          <w:sz w:val="22"/>
        </w:rPr>
        <w:t>Republic of Serbia</w:t>
      </w:r>
      <w:bookmarkEnd w:id="37"/>
      <w:bookmarkEnd w:id="38"/>
      <w:r w:rsidRPr="00E82463">
        <w:rPr>
          <w:rFonts w:ascii="Times New Roman" w:hAnsi="Times New Roman"/>
          <w:sz w:val="22"/>
          <w:lang w:val="en-GB"/>
        </w:rPr>
        <w:t xml:space="preserve"> by the </w:t>
      </w:r>
      <w:r w:rsidR="00C60DD3" w:rsidRPr="00E82463">
        <w:rPr>
          <w:rFonts w:ascii="Times New Roman" w:hAnsi="Times New Roman"/>
          <w:sz w:val="22"/>
          <w:lang w:val="en-GB"/>
        </w:rPr>
        <w:t xml:space="preserve">appointed </w:t>
      </w:r>
      <w:r w:rsidR="00E07F05">
        <w:rPr>
          <w:rFonts w:ascii="Times New Roman" w:hAnsi="Times New Roman"/>
          <w:sz w:val="22"/>
          <w:lang w:val="en-GB"/>
        </w:rPr>
        <w:t>committee</w:t>
      </w:r>
      <w:r w:rsidRPr="00E82463">
        <w:rPr>
          <w:rFonts w:ascii="Times New Roman" w:hAnsi="Times New Roman"/>
          <w:sz w:val="22"/>
          <w:lang w:val="en-GB"/>
        </w:rPr>
        <w:t>. The committee will draw up minutes of the meeting, which will be available on request.</w:t>
      </w:r>
    </w:p>
    <w:p w14:paraId="479B69A1"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3030173D"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3FF83928"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30B57DA3"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3DA1A258"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7CDDD26C" w14:textId="77777777" w:rsidR="0047783A" w:rsidRPr="00E82463" w:rsidRDefault="0047783A" w:rsidP="00A4424B">
      <w:pPr>
        <w:pStyle w:val="Heading1"/>
      </w:pPr>
      <w:bookmarkStart w:id="39" w:name="_Toc42488089"/>
      <w:r w:rsidRPr="00E82463">
        <w:t>Evaluation of tenders</w:t>
      </w:r>
      <w:bookmarkEnd w:id="39"/>
    </w:p>
    <w:p w14:paraId="64DE6BD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43DD46E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1AF67758"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7C4D39DD"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39B1DDC1"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7795025C" w14:textId="77777777" w:rsidR="0047783A" w:rsidRPr="00E82463" w:rsidRDefault="0047783A" w:rsidP="00E82463">
      <w:pPr>
        <w:spacing w:before="0"/>
        <w:ind w:left="567"/>
        <w:jc w:val="both"/>
        <w:outlineLvl w:val="0"/>
        <w:rPr>
          <w:rFonts w:ascii="Times New Roman" w:hAnsi="Times New Roman"/>
          <w:sz w:val="22"/>
        </w:rPr>
      </w:pPr>
      <w:bookmarkStart w:id="40"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2A888E0A"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point 16) are to be evaluated at the start of this stage.</w:t>
      </w:r>
    </w:p>
    <w:bookmarkEnd w:id="40"/>
    <w:p w14:paraId="53BDF0F8"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8D2440B"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w:t>
      </w:r>
      <w:r w:rsidRPr="00E82463">
        <w:rPr>
          <w:rFonts w:ascii="Times New Roman" w:hAnsi="Times New Roman"/>
          <w:sz w:val="22"/>
          <w:lang w:val="en-GB"/>
        </w:rPr>
        <w:lastRenderedPageBreak/>
        <w:t>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75892DB0"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2AAAB505"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71EF52DC"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054ABE28"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1F6DBE4E"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02A6B89"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066C3F4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01C3B4AD"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4BF70153" w14:textId="77777777" w:rsidR="0047783A" w:rsidRPr="00B33ADD"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 xml:space="preserve">Award </w:t>
      </w:r>
      <w:r w:rsidRPr="00B33ADD">
        <w:rPr>
          <w:rFonts w:ascii="Times New Roman" w:hAnsi="Times New Roman"/>
          <w:sz w:val="22"/>
          <w:lang w:val="en-GB"/>
        </w:rPr>
        <w:t>criteria</w:t>
      </w:r>
    </w:p>
    <w:p w14:paraId="41501968" w14:textId="6AA5B4AA" w:rsidR="0047783A" w:rsidRPr="00B33ADD" w:rsidRDefault="0047783A" w:rsidP="00B33ADD">
      <w:pPr>
        <w:ind w:left="567" w:firstLine="11"/>
        <w:jc w:val="both"/>
        <w:outlineLvl w:val="0"/>
        <w:rPr>
          <w:rFonts w:ascii="Times New Roman" w:hAnsi="Times New Roman"/>
        </w:rPr>
      </w:pPr>
      <w:r w:rsidRPr="00B33ADD">
        <w:rPr>
          <w:rFonts w:ascii="Times New Roman" w:hAnsi="Times New Roman"/>
          <w:sz w:val="22"/>
        </w:rPr>
        <w:t>The sole award criterion will be the price. The contract will be awarded to the lowest compliant tender.</w:t>
      </w:r>
    </w:p>
    <w:p w14:paraId="38EB9135" w14:textId="77777777" w:rsidR="00EA1ADC" w:rsidRDefault="00EA1ADC" w:rsidP="00C348C0">
      <w:pPr>
        <w:jc w:val="both"/>
        <w:rPr>
          <w:rFonts w:ascii="Times New Roman" w:hAnsi="Times New Roman"/>
          <w:b/>
          <w:sz w:val="28"/>
          <w:szCs w:val="28"/>
        </w:rPr>
      </w:pPr>
      <w:r w:rsidRPr="00B33ADD">
        <w:rPr>
          <w:rFonts w:ascii="Times New Roman" w:hAnsi="Times New Roman"/>
          <w:b/>
          <w:sz w:val="28"/>
          <w:szCs w:val="28"/>
        </w:rPr>
        <w:t>21.</w:t>
      </w:r>
      <w:r w:rsidRPr="00B33ADD">
        <w:rPr>
          <w:rFonts w:ascii="Times New Roman" w:hAnsi="Times New Roman"/>
          <w:b/>
          <w:sz w:val="28"/>
          <w:szCs w:val="28"/>
        </w:rPr>
        <w:tab/>
        <w:t>Notification</w:t>
      </w:r>
      <w:r>
        <w:rPr>
          <w:rFonts w:ascii="Times New Roman" w:hAnsi="Times New Roman"/>
          <w:b/>
          <w:sz w:val="28"/>
          <w:szCs w:val="28"/>
        </w:rPr>
        <w:t xml:space="preserve"> of award</w:t>
      </w:r>
    </w:p>
    <w:p w14:paraId="402E83B5"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537F8E58" w14:textId="77777777" w:rsidR="0047783A" w:rsidRPr="00C348C0" w:rsidRDefault="00EA1ADC" w:rsidP="00C348C0">
      <w:pPr>
        <w:pStyle w:val="Heading1"/>
        <w:numPr>
          <w:ilvl w:val="0"/>
          <w:numId w:val="0"/>
        </w:numPr>
        <w:rPr>
          <w:lang w:val="en-GB"/>
        </w:rPr>
      </w:pPr>
      <w:bookmarkStart w:id="41" w:name="_Toc41467298"/>
      <w:bookmarkStart w:id="42" w:name="_Toc42488090"/>
      <w:r>
        <w:rPr>
          <w:lang w:val="en-GB"/>
        </w:rPr>
        <w:t>22.</w:t>
      </w:r>
      <w:r>
        <w:rPr>
          <w:lang w:val="en-GB"/>
        </w:rPr>
        <w:tab/>
      </w:r>
      <w:r w:rsidR="0047783A" w:rsidRPr="00C348C0">
        <w:rPr>
          <w:lang w:val="en-GB"/>
        </w:rPr>
        <w:t>Signature of the contract and performance guarantee</w:t>
      </w:r>
      <w:bookmarkStart w:id="43" w:name="_Ref500418776"/>
      <w:bookmarkEnd w:id="41"/>
      <w:bookmarkEnd w:id="42"/>
    </w:p>
    <w:p w14:paraId="5F84ACC5"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7FE4E37E" w14:textId="77777777" w:rsidR="00BC163B" w:rsidRPr="00E82463" w:rsidRDefault="00BC163B" w:rsidP="00AC07D4">
      <w:pPr>
        <w:ind w:left="567" w:hanging="567"/>
        <w:jc w:val="both"/>
        <w:rPr>
          <w:rFonts w:ascii="Times New Roman" w:hAnsi="Times New Roman"/>
        </w:rPr>
      </w:pPr>
      <w:r>
        <w:rPr>
          <w:rFonts w:ascii="Times New Roman" w:hAnsi="Times New Roman"/>
          <w:sz w:val="22"/>
        </w:rPr>
        <w:lastRenderedPageBreak/>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0AF8687D"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point 16.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76CD45DE"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3BFE5A46"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27D9F663" w14:textId="77777777" w:rsidR="00654F04" w:rsidRPr="00B82C7B"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 xml:space="preserve">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w:t>
      </w:r>
      <w:r w:rsidRPr="00B82C7B">
        <w:rPr>
          <w:rFonts w:ascii="Times New Roman" w:hAnsi="Times New Roman"/>
          <w:color w:val="000000"/>
          <w:sz w:val="22"/>
          <w:szCs w:val="22"/>
        </w:rPr>
        <w:t>they are still valid. In this case, the candidate or tenderer must declare on his/her honour that the documentary evidence has already been provided in a previous procurement procedure and confirm that his/her situation has not changed.</w:t>
      </w:r>
    </w:p>
    <w:p w14:paraId="156D5EEE" w14:textId="4F438377" w:rsidR="00654F04" w:rsidRPr="00B82C7B" w:rsidRDefault="00654F04" w:rsidP="00654F04">
      <w:pPr>
        <w:ind w:left="567" w:firstLine="33"/>
        <w:jc w:val="both"/>
        <w:rPr>
          <w:rFonts w:ascii="Times New Roman" w:hAnsi="Times New Roman"/>
          <w:color w:val="000000"/>
          <w:sz w:val="22"/>
          <w:szCs w:val="22"/>
        </w:rPr>
      </w:pPr>
      <w:r w:rsidRPr="00B82C7B">
        <w:rPr>
          <w:rFonts w:ascii="Times New Roman" w:hAnsi="Times New Roman"/>
          <w:color w:val="000000"/>
          <w:sz w:val="22"/>
          <w:szCs w:val="22"/>
        </w:rPr>
        <w:t>No documentary evidence of the selection criteria in point 16 of the contract notice shall be submitted but no pre-financing will be granted.</w:t>
      </w:r>
    </w:p>
    <w:p w14:paraId="1FDF81EA" w14:textId="77777777" w:rsidR="00580F0C" w:rsidRPr="00580F0C" w:rsidRDefault="00580F0C" w:rsidP="00654F04">
      <w:pPr>
        <w:ind w:left="567"/>
        <w:jc w:val="both"/>
        <w:rPr>
          <w:rFonts w:ascii="Times New Roman" w:hAnsi="Times New Roman"/>
          <w:sz w:val="22"/>
        </w:rPr>
      </w:pPr>
      <w:r w:rsidRPr="00B82C7B">
        <w:rPr>
          <w:rFonts w:ascii="Times New Roman" w:hAnsi="Times New Roman"/>
          <w:sz w:val="22"/>
        </w:rPr>
        <w:t>By submitting a tender, each tenderer accepts to receive</w:t>
      </w:r>
      <w:r w:rsidRPr="00580F0C">
        <w:rPr>
          <w:rFonts w:ascii="Times New Roman" w:hAnsi="Times New Roman"/>
          <w:sz w:val="22"/>
        </w:rPr>
        <w:t xml:space="preserve"> notification of the outcome of the procedure by electronic means. Such notification shall be deemed to have been received on the date upon which the contracting authority sends it to the electronic address referred to in the offer.</w:t>
      </w:r>
    </w:p>
    <w:p w14:paraId="5C87C35A"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5F5E294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43"/>
    <w:p w14:paraId="3A61D9D0"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56EDDEAC" w14:textId="6B1FBDDC"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 xml:space="preserve">onditions is set </w:t>
      </w:r>
      <w:r w:rsidRPr="00B33ADD">
        <w:rPr>
          <w:rFonts w:ascii="Times New Roman" w:hAnsi="Times New Roman"/>
          <w:sz w:val="22"/>
        </w:rPr>
        <w:t>at 10</w:t>
      </w:r>
      <w:r w:rsidR="006A5F84" w:rsidRPr="00B33ADD">
        <w:rPr>
          <w:rFonts w:ascii="Times New Roman" w:hAnsi="Times New Roman"/>
          <w:w w:val="50"/>
          <w:sz w:val="22"/>
        </w:rPr>
        <w:t> </w:t>
      </w:r>
      <w:r w:rsidRPr="00B33ADD">
        <w:rPr>
          <w:rFonts w:ascii="Times New Roman" w:hAnsi="Times New Roman"/>
          <w:sz w:val="22"/>
        </w:rPr>
        <w:t>% of the amount of the contract and must be presented in the form specified in the annex to the tender dossier</w:t>
      </w:r>
      <w:r w:rsidRPr="00E82463">
        <w:rPr>
          <w:rFonts w:ascii="Times New Roman" w:hAnsi="Times New Roman"/>
          <w:sz w:val="22"/>
        </w:rPr>
        <w:t xml:space="preserve">. It will be released within 45 days of the issue of the final acceptance certificate by the </w:t>
      </w:r>
      <w:r w:rsidR="000D5F1B">
        <w:rPr>
          <w:rFonts w:ascii="Times New Roman" w:hAnsi="Times New Roman"/>
          <w:sz w:val="22"/>
        </w:rPr>
        <w:t>c</w:t>
      </w:r>
      <w:r w:rsidRPr="00E82463">
        <w:rPr>
          <w:rFonts w:ascii="Times New Roman" w:hAnsi="Times New Roman"/>
          <w:sz w:val="22"/>
        </w:rPr>
        <w:t xml:space="preserve">ontracting </w:t>
      </w:r>
      <w:r w:rsidR="000D5F1B">
        <w:rPr>
          <w:rFonts w:ascii="Times New Roman" w:hAnsi="Times New Roman"/>
          <w:sz w:val="22"/>
        </w:rPr>
        <w:t>a</w:t>
      </w:r>
      <w:r w:rsidRPr="00E82463">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p>
    <w:p w14:paraId="7E844BB7" w14:textId="77777777" w:rsidR="0047783A" w:rsidRPr="00C348C0" w:rsidRDefault="00EA1ADC" w:rsidP="00C348C0">
      <w:pPr>
        <w:pStyle w:val="Heading1"/>
        <w:numPr>
          <w:ilvl w:val="0"/>
          <w:numId w:val="0"/>
        </w:numPr>
        <w:rPr>
          <w:lang w:val="en-GB"/>
        </w:rPr>
      </w:pPr>
      <w:bookmarkStart w:id="44" w:name="_Toc41467299"/>
      <w:bookmarkStart w:id="45" w:name="_Toc42488091"/>
      <w:r w:rsidRPr="00C348C0">
        <w:rPr>
          <w:lang w:val="en-GB"/>
        </w:rPr>
        <w:t>23.</w:t>
      </w:r>
      <w:r w:rsidRPr="00C348C0">
        <w:rPr>
          <w:lang w:val="en-GB"/>
        </w:rPr>
        <w:tab/>
      </w:r>
      <w:r w:rsidR="0047783A" w:rsidRPr="00C348C0">
        <w:rPr>
          <w:lang w:val="en-GB"/>
        </w:rPr>
        <w:t>Tender guarantee</w:t>
      </w:r>
      <w:bookmarkEnd w:id="44"/>
      <w:bookmarkEnd w:id="45"/>
    </w:p>
    <w:p w14:paraId="6E55D351" w14:textId="13B5237B" w:rsidR="008718AA" w:rsidRPr="00E82463" w:rsidRDefault="00D1398A" w:rsidP="000D66C0">
      <w:pPr>
        <w:ind w:left="567"/>
        <w:jc w:val="both"/>
        <w:outlineLvl w:val="0"/>
        <w:rPr>
          <w:rFonts w:ascii="Times New Roman" w:hAnsi="Times New Roman"/>
          <w:sz w:val="22"/>
        </w:rPr>
      </w:pPr>
      <w:r w:rsidRPr="00B33ADD">
        <w:rPr>
          <w:rFonts w:ascii="Times New Roman" w:hAnsi="Times New Roman"/>
          <w:sz w:val="22"/>
          <w:szCs w:val="22"/>
        </w:rPr>
        <w:t>No tender guarantee is required</w:t>
      </w:r>
      <w:r w:rsidRPr="00B33ADD">
        <w:rPr>
          <w:rFonts w:ascii="Times New Roman" w:hAnsi="Times New Roman"/>
        </w:rPr>
        <w:t>.</w:t>
      </w:r>
    </w:p>
    <w:p w14:paraId="6D98C18F" w14:textId="77777777" w:rsidR="0047783A" w:rsidRPr="00C348C0" w:rsidRDefault="00EA1ADC" w:rsidP="00C348C0">
      <w:pPr>
        <w:pStyle w:val="Heading1"/>
        <w:numPr>
          <w:ilvl w:val="0"/>
          <w:numId w:val="0"/>
        </w:numPr>
        <w:rPr>
          <w:lang w:val="en-GB"/>
        </w:rPr>
      </w:pPr>
      <w:bookmarkStart w:id="46" w:name="_Toc41467300"/>
      <w:bookmarkStart w:id="47" w:name="_Toc42488092"/>
      <w:r w:rsidRPr="00C348C0">
        <w:rPr>
          <w:lang w:val="en-GB"/>
        </w:rPr>
        <w:lastRenderedPageBreak/>
        <w:t xml:space="preserve">24. </w:t>
      </w:r>
      <w:r w:rsidR="0047783A" w:rsidRPr="00C348C0">
        <w:rPr>
          <w:lang w:val="en-GB"/>
        </w:rPr>
        <w:t>Ethics clauses</w:t>
      </w:r>
      <w:bookmarkEnd w:id="46"/>
      <w:bookmarkEnd w:id="47"/>
      <w:r w:rsidR="00442FF2">
        <w:rPr>
          <w:lang w:val="en-GB"/>
        </w:rPr>
        <w:t xml:space="preserve"> and code of conduct</w:t>
      </w:r>
    </w:p>
    <w:p w14:paraId="184683F6"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64413554"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4A7C3DD"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2311C1CA"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7B442750"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 and sexual abuse:</w:t>
      </w:r>
    </w:p>
    <w:p w14:paraId="00A52C7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5BA78335"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67E025A3"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1D10C34C"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720EF5C"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358B7177"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8CC2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006657A"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7D6EF8C7" w14:textId="271EE7D9" w:rsidR="00442FF2" w:rsidRPr="00C348C0" w:rsidRDefault="00442FF2" w:rsidP="00B33ADD">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w:t>
      </w:r>
      <w:r w:rsidR="00C348C0" w:rsidRPr="00C348C0">
        <w:rPr>
          <w:rFonts w:ascii="Times New Roman" w:hAnsi="Times New Roman"/>
          <w:sz w:val="22"/>
          <w:szCs w:val="22"/>
        </w:rPr>
        <w:lastRenderedPageBreak/>
        <w:t>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54AEB06" w14:textId="77777777" w:rsidR="0047783A" w:rsidRPr="00C348C0" w:rsidRDefault="00EA1ADC" w:rsidP="00C348C0">
      <w:pPr>
        <w:pStyle w:val="Heading1"/>
        <w:numPr>
          <w:ilvl w:val="0"/>
          <w:numId w:val="0"/>
        </w:numPr>
        <w:rPr>
          <w:lang w:val="en-GB"/>
        </w:rPr>
      </w:pPr>
      <w:bookmarkStart w:id="48" w:name="_Toc42488093"/>
      <w:r w:rsidRPr="00C348C0">
        <w:rPr>
          <w:lang w:val="en-GB"/>
        </w:rPr>
        <w:t>25.</w:t>
      </w:r>
      <w:r w:rsidRPr="00C348C0">
        <w:rPr>
          <w:lang w:val="en-GB"/>
        </w:rPr>
        <w:tab/>
      </w:r>
      <w:r w:rsidR="0047783A" w:rsidRPr="00C348C0">
        <w:rPr>
          <w:lang w:val="en-GB"/>
        </w:rPr>
        <w:t>Cancellation of the tender procedure</w:t>
      </w:r>
      <w:bookmarkEnd w:id="48"/>
    </w:p>
    <w:p w14:paraId="4626FB0E"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607A1290"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46270D48"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63355D5E"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114BD3AA"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2503E58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189D599"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3FD408BA"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445F9F9C"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237B0DEC" w14:textId="77777777"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7186D7F3" w14:textId="1820806F" w:rsidR="00130EF1" w:rsidRPr="00E82463" w:rsidRDefault="0047783A" w:rsidP="00E07F05">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sectPr w:rsidR="00130EF1" w:rsidRPr="00E82463" w:rsidSect="000D0118">
      <w:footerReference w:type="even" r:id="rId11"/>
      <w:footerReference w:type="default" r:id="rId12"/>
      <w:footerReference w:type="first" r:id="rId13"/>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AD7281" w14:textId="77777777" w:rsidR="00CD6AAB" w:rsidRPr="006A5F84" w:rsidRDefault="00CD6AAB">
      <w:r w:rsidRPr="006A5F84">
        <w:separator/>
      </w:r>
    </w:p>
  </w:endnote>
  <w:endnote w:type="continuationSeparator" w:id="0">
    <w:p w14:paraId="535A9137" w14:textId="77777777" w:rsidR="00CD6AAB" w:rsidRPr="006A5F84" w:rsidRDefault="00CD6AA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Bold">
    <w:altName w:val="MS Mincho"/>
    <w:panose1 w:val="00000000000000000000"/>
    <w:charset w:val="80"/>
    <w:family w:val="auto"/>
    <w:notTrueType/>
    <w:pitch w:val="default"/>
    <w:sig w:usb0="00000203" w:usb1="08070000" w:usb2="00000010" w:usb3="00000000" w:csb0="00020005"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C446A8"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1D7874E"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52B412" w14:textId="77777777" w:rsidR="00A77708" w:rsidRPr="009423FB" w:rsidRDefault="00FC6A15"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sidR="00F679ED">
      <w:rPr>
        <w:rFonts w:ascii="Times New Roman" w:hAnsi="Times New Roman"/>
        <w:b/>
        <w:sz w:val="18"/>
        <w:szCs w:val="18"/>
      </w:rPr>
      <w:t xml:space="preserve"> 201</w:t>
    </w:r>
    <w:r>
      <w:rPr>
        <w:rFonts w:ascii="Times New Roman" w:hAnsi="Times New Roman"/>
        <w:b/>
        <w:sz w:val="18"/>
        <w:szCs w:val="18"/>
      </w:rPr>
      <w:t>9</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E07F05">
      <w:rPr>
        <w:rStyle w:val="PageNumber"/>
        <w:rFonts w:ascii="Times New Roman" w:hAnsi="Times New Roman"/>
        <w:noProof/>
        <w:sz w:val="18"/>
        <w:szCs w:val="18"/>
      </w:rPr>
      <w:t>4</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E07F05">
      <w:rPr>
        <w:rStyle w:val="PageNumber"/>
        <w:rFonts w:ascii="Times New Roman" w:hAnsi="Times New Roman"/>
        <w:noProof/>
        <w:sz w:val="18"/>
        <w:szCs w:val="18"/>
      </w:rPr>
      <w:t>12</w:t>
    </w:r>
    <w:r w:rsidR="00A77708" w:rsidRPr="009423FB">
      <w:rPr>
        <w:rStyle w:val="PageNumber"/>
        <w:rFonts w:ascii="Times New Roman" w:hAnsi="Times New Roman"/>
        <w:sz w:val="18"/>
        <w:szCs w:val="18"/>
      </w:rPr>
      <w:fldChar w:fldCharType="end"/>
    </w:r>
  </w:p>
  <w:p w14:paraId="65D2CDD6"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D3671"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5A9E4805"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9AD7F3" w14:textId="77777777" w:rsidR="00CD6AAB" w:rsidRPr="006A5F84" w:rsidRDefault="00CD6AAB">
      <w:r w:rsidRPr="006A5F84">
        <w:separator/>
      </w:r>
    </w:p>
  </w:footnote>
  <w:footnote w:type="continuationSeparator" w:id="0">
    <w:p w14:paraId="5E8D5A80" w14:textId="77777777" w:rsidR="00CD6AAB" w:rsidRPr="006A5F84" w:rsidRDefault="00CD6AAB">
      <w:r w:rsidRPr="006A5F84">
        <w:continuationSeparator/>
      </w:r>
    </w:p>
  </w:footnote>
  <w:footnote w:id="1">
    <w:p w14:paraId="5AB16ED0" w14:textId="77777777"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2">
    <w:p w14:paraId="47F314E0"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3">
    <w:p w14:paraId="5374ADCA" w14:textId="06E1DC32" w:rsidR="00A77708" w:rsidRPr="00C348C0" w:rsidRDefault="00A77708" w:rsidP="00EB295F">
      <w:pPr>
        <w:pStyle w:val="FootnoteText"/>
        <w:rPr>
          <w:lang w:val="en-GB"/>
        </w:rPr>
      </w:pPr>
      <w:r w:rsidRPr="006A5F84">
        <w:rPr>
          <w:rStyle w:val="FootnoteReference"/>
          <w:lang w:val="en-GB"/>
        </w:rPr>
        <w:footnoteRef/>
      </w:r>
      <w:r w:rsidR="005F1EC7" w:rsidRPr="00C348C0">
        <w:rPr>
          <w:lang w:val="en-GB"/>
        </w:rPr>
        <w:t xml:space="preserve"> </w:t>
      </w:r>
      <w:r w:rsidRPr="00E46B03">
        <w:rPr>
          <w:lang w:val="en-GB"/>
        </w:rPr>
        <w:t>DDP (Delivered Duty Paid) — Incoterms</w:t>
      </w:r>
      <w:r w:rsidRPr="00C348C0">
        <w:rPr>
          <w:lang w:val="en-GB"/>
        </w:rPr>
        <w:t xml:space="preserve"> 2010 International Chamber of Commerce </w:t>
      </w:r>
      <w:hyperlink r:id="rId1" w:history="1">
        <w:r w:rsidR="00E82463" w:rsidRPr="00FC1D90">
          <w:rPr>
            <w:rStyle w:val="Hyperlink"/>
            <w:lang w:val="en-GB"/>
          </w:rPr>
          <w:t>http://www.iccwbo.org/products-and-services/trade-facilitation/incoterms-2010/the-incoterms-rules/</w:t>
        </w:r>
      </w:hyperlink>
      <w:r w:rsidR="00E82463" w:rsidRPr="00C348C0">
        <w:rPr>
          <w:lang w:val="en-GB"/>
        </w:rPr>
        <w:t xml:space="preserve"> </w:t>
      </w:r>
      <w:r w:rsidRPr="00C348C0">
        <w:rPr>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1"/>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2"/>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C7060"/>
    <w:rsid w:val="001D0532"/>
    <w:rsid w:val="001D20C7"/>
    <w:rsid w:val="001D339B"/>
    <w:rsid w:val="001E4648"/>
    <w:rsid w:val="001F0DE5"/>
    <w:rsid w:val="001F410B"/>
    <w:rsid w:val="001F5421"/>
    <w:rsid w:val="001F7658"/>
    <w:rsid w:val="002012E1"/>
    <w:rsid w:val="00201CF7"/>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A7BD1"/>
    <w:rsid w:val="002B1865"/>
    <w:rsid w:val="002B6401"/>
    <w:rsid w:val="002B7402"/>
    <w:rsid w:val="002C1EAD"/>
    <w:rsid w:val="002C649A"/>
    <w:rsid w:val="002D0CE1"/>
    <w:rsid w:val="002D1FCC"/>
    <w:rsid w:val="002D2FC0"/>
    <w:rsid w:val="002D3485"/>
    <w:rsid w:val="002D6EED"/>
    <w:rsid w:val="002E105B"/>
    <w:rsid w:val="002E1FB2"/>
    <w:rsid w:val="002E5BEF"/>
    <w:rsid w:val="002F1222"/>
    <w:rsid w:val="002F48D0"/>
    <w:rsid w:val="002F530E"/>
    <w:rsid w:val="002F6309"/>
    <w:rsid w:val="00301220"/>
    <w:rsid w:val="003051AA"/>
    <w:rsid w:val="003061F8"/>
    <w:rsid w:val="00306DE6"/>
    <w:rsid w:val="003205A4"/>
    <w:rsid w:val="00322263"/>
    <w:rsid w:val="00323D1B"/>
    <w:rsid w:val="003308C6"/>
    <w:rsid w:val="003320FF"/>
    <w:rsid w:val="0033212F"/>
    <w:rsid w:val="00335E06"/>
    <w:rsid w:val="003409B8"/>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7C56"/>
    <w:rsid w:val="00391D90"/>
    <w:rsid w:val="003925E9"/>
    <w:rsid w:val="00392A7E"/>
    <w:rsid w:val="00394E9F"/>
    <w:rsid w:val="003A02A1"/>
    <w:rsid w:val="003A474A"/>
    <w:rsid w:val="003B3C9C"/>
    <w:rsid w:val="003B48B4"/>
    <w:rsid w:val="003C0747"/>
    <w:rsid w:val="003C6C9C"/>
    <w:rsid w:val="003C7266"/>
    <w:rsid w:val="003D2078"/>
    <w:rsid w:val="003D3467"/>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218DB"/>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68CF"/>
    <w:rsid w:val="004F1264"/>
    <w:rsid w:val="004F5C57"/>
    <w:rsid w:val="005005D7"/>
    <w:rsid w:val="00501FF0"/>
    <w:rsid w:val="00503427"/>
    <w:rsid w:val="00515616"/>
    <w:rsid w:val="00516552"/>
    <w:rsid w:val="00533C8D"/>
    <w:rsid w:val="00535826"/>
    <w:rsid w:val="00536B4A"/>
    <w:rsid w:val="00537189"/>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311FE"/>
    <w:rsid w:val="00633829"/>
    <w:rsid w:val="00633D3A"/>
    <w:rsid w:val="00633E6D"/>
    <w:rsid w:val="00636E8F"/>
    <w:rsid w:val="0063744A"/>
    <w:rsid w:val="00637D16"/>
    <w:rsid w:val="006408AC"/>
    <w:rsid w:val="00640D24"/>
    <w:rsid w:val="00640E38"/>
    <w:rsid w:val="00644483"/>
    <w:rsid w:val="0065117A"/>
    <w:rsid w:val="006532E3"/>
    <w:rsid w:val="00654F04"/>
    <w:rsid w:val="00657CE7"/>
    <w:rsid w:val="0066145D"/>
    <w:rsid w:val="00661B3C"/>
    <w:rsid w:val="0066519D"/>
    <w:rsid w:val="00670E5E"/>
    <w:rsid w:val="00677500"/>
    <w:rsid w:val="0068247E"/>
    <w:rsid w:val="00682804"/>
    <w:rsid w:val="0069153C"/>
    <w:rsid w:val="006917B2"/>
    <w:rsid w:val="00692095"/>
    <w:rsid w:val="00696FDD"/>
    <w:rsid w:val="006A5F84"/>
    <w:rsid w:val="006B0532"/>
    <w:rsid w:val="006B0AB1"/>
    <w:rsid w:val="006B3EAE"/>
    <w:rsid w:val="006B5B42"/>
    <w:rsid w:val="006C2F05"/>
    <w:rsid w:val="006C513D"/>
    <w:rsid w:val="006D3BA1"/>
    <w:rsid w:val="006D4CEC"/>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5FA2"/>
    <w:rsid w:val="007D62E5"/>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53F9D"/>
    <w:rsid w:val="0085667F"/>
    <w:rsid w:val="008617F3"/>
    <w:rsid w:val="008670ED"/>
    <w:rsid w:val="0086759F"/>
    <w:rsid w:val="00870FD6"/>
    <w:rsid w:val="008718AA"/>
    <w:rsid w:val="00872830"/>
    <w:rsid w:val="008808CB"/>
    <w:rsid w:val="008847D1"/>
    <w:rsid w:val="00885882"/>
    <w:rsid w:val="008859E6"/>
    <w:rsid w:val="00891AAB"/>
    <w:rsid w:val="00891D12"/>
    <w:rsid w:val="00892CE9"/>
    <w:rsid w:val="008934F5"/>
    <w:rsid w:val="008A048D"/>
    <w:rsid w:val="008A39B7"/>
    <w:rsid w:val="008B2A9C"/>
    <w:rsid w:val="008C14A7"/>
    <w:rsid w:val="008C4E79"/>
    <w:rsid w:val="008C5A40"/>
    <w:rsid w:val="008C5DAA"/>
    <w:rsid w:val="008C787A"/>
    <w:rsid w:val="008E40E2"/>
    <w:rsid w:val="008E7470"/>
    <w:rsid w:val="008E7587"/>
    <w:rsid w:val="008F3866"/>
    <w:rsid w:val="008F3D27"/>
    <w:rsid w:val="009143FD"/>
    <w:rsid w:val="00917D02"/>
    <w:rsid w:val="00920A51"/>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3744"/>
    <w:rsid w:val="00AD5536"/>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3ADD"/>
    <w:rsid w:val="00B3411B"/>
    <w:rsid w:val="00B443C3"/>
    <w:rsid w:val="00B4454C"/>
    <w:rsid w:val="00B44B08"/>
    <w:rsid w:val="00B44DC5"/>
    <w:rsid w:val="00B4644C"/>
    <w:rsid w:val="00B4772C"/>
    <w:rsid w:val="00B51209"/>
    <w:rsid w:val="00B525A7"/>
    <w:rsid w:val="00B569B1"/>
    <w:rsid w:val="00B60082"/>
    <w:rsid w:val="00B61CED"/>
    <w:rsid w:val="00B63280"/>
    <w:rsid w:val="00B70C0E"/>
    <w:rsid w:val="00B7329A"/>
    <w:rsid w:val="00B76124"/>
    <w:rsid w:val="00B80DE8"/>
    <w:rsid w:val="00B8161D"/>
    <w:rsid w:val="00B82C7B"/>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6AAB"/>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7055"/>
    <w:rsid w:val="00DE71AB"/>
    <w:rsid w:val="00DF25C5"/>
    <w:rsid w:val="00DF2FF3"/>
    <w:rsid w:val="00DF589E"/>
    <w:rsid w:val="00DF7145"/>
    <w:rsid w:val="00DF7327"/>
    <w:rsid w:val="00E0295D"/>
    <w:rsid w:val="00E034FB"/>
    <w:rsid w:val="00E07F05"/>
    <w:rsid w:val="00E10B1C"/>
    <w:rsid w:val="00E111AC"/>
    <w:rsid w:val="00E13CDE"/>
    <w:rsid w:val="00E14817"/>
    <w:rsid w:val="00E168E3"/>
    <w:rsid w:val="00E213A7"/>
    <w:rsid w:val="00E215DF"/>
    <w:rsid w:val="00E2190B"/>
    <w:rsid w:val="00E2682A"/>
    <w:rsid w:val="00E27678"/>
    <w:rsid w:val="00E3200D"/>
    <w:rsid w:val="00E340A7"/>
    <w:rsid w:val="00E34208"/>
    <w:rsid w:val="00E37290"/>
    <w:rsid w:val="00E37A55"/>
    <w:rsid w:val="00E41C6F"/>
    <w:rsid w:val="00E46B03"/>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A1ADC"/>
    <w:rsid w:val="00EA75C1"/>
    <w:rsid w:val="00EB295F"/>
    <w:rsid w:val="00EB3B91"/>
    <w:rsid w:val="00EB78F4"/>
    <w:rsid w:val="00EC0DD2"/>
    <w:rsid w:val="00EC16F8"/>
    <w:rsid w:val="00EC48C8"/>
    <w:rsid w:val="00EC571A"/>
    <w:rsid w:val="00ED219D"/>
    <w:rsid w:val="00EE0ED9"/>
    <w:rsid w:val="00EE109E"/>
    <w:rsid w:val="00EE23B1"/>
    <w:rsid w:val="00EE2E55"/>
    <w:rsid w:val="00EE6BC0"/>
    <w:rsid w:val="00EF1C05"/>
    <w:rsid w:val="00EF2700"/>
    <w:rsid w:val="00EF3951"/>
    <w:rsid w:val="00EF6426"/>
    <w:rsid w:val="00EF7132"/>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9D91AE"/>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95F"/>
    <w:pPr>
      <w:spacing w:before="120" w:after="120"/>
    </w:pPr>
    <w:rPr>
      <w:rFonts w:ascii="Arial" w:hAnsi="Arial"/>
      <w:snapToGrid w:val="0"/>
      <w:lang w:val="en-GB"/>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ovisad.rs/docs-gu-all"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63CEB-3271-4C34-AC49-CA986273D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12</Pages>
  <Words>5298</Words>
  <Characters>30199</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35427</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15</cp:revision>
  <cp:lastPrinted>2018-04-13T13:21:00Z</cp:lastPrinted>
  <dcterms:created xsi:type="dcterms:W3CDTF">2018-12-18T11:39:00Z</dcterms:created>
  <dcterms:modified xsi:type="dcterms:W3CDTF">2020-05-18T05:04:00Z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