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992EED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3"/>
      <w:bookmarkStart w:id="1" w:name="_Hlk32839505"/>
      <w:bookmarkStart w:id="2" w:name="_GoBack"/>
      <w:bookmarkEnd w:id="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Grad Novi Sad Gradska uprava za saobraćaj i puteve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992EE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3" w:name="25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103767899</w:t>
      </w:r>
    </w:p>
    <w:p w:rsidR="001F55F6" w:rsidRPr="001F55F6" w:rsidRDefault="00992EE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Žarka Zrenjanina 2</w:t>
      </w:r>
    </w:p>
    <w:p w:rsidR="001F55F6" w:rsidRPr="001F55F6" w:rsidRDefault="00992EE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8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21000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7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Novi Sad</w:t>
      </w:r>
    </w:p>
    <w:p w:rsidR="001F55F6" w:rsidRPr="001F55F6" w:rsidRDefault="00992EE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992EE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08.12.2020</w:t>
      </w:r>
    </w:p>
    <w:p w:rsidR="001F55F6" w:rsidRPr="001F55F6" w:rsidRDefault="00992EE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0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IV-4-1/20-26</w:t>
      </w:r>
    </w:p>
    <w:p w:rsidR="001F55F6" w:rsidRPr="00A9707B" w:rsidRDefault="00992EE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9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donosi,</w:t>
      </w:r>
    </w:p>
    <w:p w:rsidR="001F55F6" w:rsidRPr="001F55F6" w:rsidRDefault="00992EE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992EE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4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Grad Novi Sad Gradska uprava za saobraćaj i puteve</w:t>
      </w:r>
    </w:p>
    <w:p w:rsidR="001F55F6" w:rsidRPr="001F55F6" w:rsidRDefault="00992EE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OP-U-5/2020</w:t>
      </w:r>
    </w:p>
    <w:p w:rsidR="001F55F6" w:rsidRPr="001F55F6" w:rsidRDefault="00992EE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0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Usluga postavljanja reklamnog materijala i zakup reklamnog prostora u cilju promocije bezbednosti saobraćaja</w:t>
      </w:r>
    </w:p>
    <w:p w:rsidR="001F55F6" w:rsidRPr="001F55F6" w:rsidRDefault="00992EE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</w:t>
      </w:r>
      <w:r w:rsidRPr="001F55F6">
        <w:rPr>
          <w:rFonts w:cstheme="minorHAnsi"/>
          <w:sz w:val="20"/>
          <w:szCs w:val="20"/>
          <w:lang w:val="sr-Latn-BA"/>
        </w:rPr>
        <w:t>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F02-0007250</w:t>
      </w:r>
    </w:p>
    <w:p w:rsidR="001F55F6" w:rsidRPr="001F55F6" w:rsidRDefault="00992EE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992EE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2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31523100</w:t>
      </w:r>
    </w:p>
    <w:p w:rsidR="001F55F6" w:rsidRPr="001F55F6" w:rsidRDefault="00992EE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2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Usluga postavljanja reklamnog materijala i zakup reklamnog prostora u cilju promocije bezbednosti saobraćaja</w:t>
      </w:r>
    </w:p>
    <w:p w:rsidR="001F55F6" w:rsidRPr="00B84A8C" w:rsidRDefault="00992EE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1.666.666,00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4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992EED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 xml:space="preserve">Ugovor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2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30B1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92EED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DOO MAXIM &amp; CO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100236864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Mihajla Pupina,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8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992EE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1.660.000</w:t>
      </w:r>
      <w:proofErr w:type="gramStart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,00</w:t>
      </w:r>
      <w:proofErr w:type="gramEnd"/>
    </w:p>
    <w:p w:rsidR="001F55F6" w:rsidRPr="00B84A8C" w:rsidRDefault="00992EE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1.992.000</w:t>
      </w:r>
      <w:proofErr w:type="gramStart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,00</w:t>
      </w:r>
      <w:proofErr w:type="gramEnd"/>
    </w:p>
    <w:p w:rsidR="001F55F6" w:rsidRPr="00B84A8C" w:rsidRDefault="00992EE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</w:t>
      </w:r>
      <w:proofErr w:type="gramStart"/>
      <w:r w:rsidRPr="001F55F6">
        <w:rPr>
          <w:rFonts w:cstheme="minorHAnsi"/>
          <w:sz w:val="20"/>
          <w:szCs w:val="20"/>
        </w:rPr>
        <w:t>:</w:t>
      </w:r>
      <w:proofErr w:type="gramEnd"/>
      <w:r w:rsidR="00B84A8C">
        <w:rPr>
          <w:rFonts w:cstheme="minorHAnsi"/>
          <w:sz w:val="20"/>
          <w:szCs w:val="20"/>
        </w:rPr>
        <w:t> </w:t>
      </w:r>
      <w:bookmarkStart w:id="31" w:name="7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992EED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992EED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2" w:name="1"/>
      <w:bookmarkEnd w:id="32"/>
      <w:r w:rsidRPr="001F55F6">
        <w:rPr>
          <w:rFonts w:ascii="Calibri" w:eastAsia="Calibri" w:hAnsi="Calibri" w:cs="Calibri"/>
          <w:sz w:val="20"/>
          <w:szCs w:val="20"/>
        </w:rPr>
        <w:t xml:space="preserve">Ponuda broj 113/20 </w:t>
      </w:r>
      <w:proofErr w:type="gramStart"/>
      <w:r w:rsidRPr="001F55F6">
        <w:rPr>
          <w:rFonts w:ascii="Calibri" w:eastAsia="Calibri" w:hAnsi="Calibri" w:cs="Calibri"/>
          <w:sz w:val="20"/>
          <w:szCs w:val="20"/>
        </w:rPr>
        <w:t>od</w:t>
      </w:r>
      <w:proofErr w:type="gram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r w:rsidRPr="001F55F6">
        <w:rPr>
          <w:rFonts w:ascii="Calibri" w:eastAsia="Calibri" w:hAnsi="Calibri" w:cs="Calibri"/>
          <w:sz w:val="20"/>
          <w:szCs w:val="20"/>
        </w:rPr>
        <w:t xml:space="preserve">30.11.2020. </w:t>
      </w:r>
      <w:proofErr w:type="gramStart"/>
      <w:r w:rsidRPr="001F55F6">
        <w:rPr>
          <w:rFonts w:ascii="Calibri" w:eastAsia="Calibri" w:hAnsi="Calibri" w:cs="Calibri"/>
          <w:sz w:val="20"/>
          <w:szCs w:val="20"/>
        </w:rPr>
        <w:t>godine</w:t>
      </w:r>
      <w:proofErr w:type="gramEnd"/>
      <w:r w:rsidRPr="001F55F6">
        <w:rPr>
          <w:rFonts w:ascii="Calibri" w:eastAsia="Calibri" w:hAnsi="Calibri" w:cs="Calibri"/>
          <w:sz w:val="20"/>
          <w:szCs w:val="20"/>
        </w:rPr>
        <w:t xml:space="preserve">, dostavljena od strane ponuča "MAXIM &amp; CO" je jedina, najpovoljnija i prihvatljiva. </w:t>
      </w:r>
      <w:proofErr w:type="gramStart"/>
      <w:r w:rsidRPr="001F55F6">
        <w:rPr>
          <w:rFonts w:ascii="Calibri" w:eastAsia="Calibri" w:hAnsi="Calibri" w:cs="Calibri"/>
          <w:sz w:val="20"/>
          <w:szCs w:val="20"/>
        </w:rPr>
        <w:t>Ponuđač je dostavio sve neophodne izjave i obrasce predviđene konkursnom dokumentacijom.</w:t>
      </w:r>
      <w:proofErr w:type="gramEnd"/>
      <w:r w:rsidRPr="001F55F6">
        <w:rPr>
          <w:rFonts w:ascii="Calibri" w:eastAsia="Calibri" w:hAnsi="Calibri" w:cs="Calibri"/>
          <w:sz w:val="20"/>
          <w:szCs w:val="20"/>
        </w:rPr>
        <w:t xml:space="preserve"> Dana 08.12.2020. </w:t>
      </w:r>
      <w:proofErr w:type="gramStart"/>
      <w:r w:rsidRPr="001F55F6">
        <w:rPr>
          <w:rFonts w:ascii="Calibri" w:eastAsia="Calibri" w:hAnsi="Calibri" w:cs="Calibri"/>
          <w:sz w:val="20"/>
          <w:szCs w:val="20"/>
        </w:rPr>
        <w:t>godine</w:t>
      </w:r>
      <w:proofErr w:type="gramEnd"/>
      <w:r w:rsidRPr="001F55F6">
        <w:rPr>
          <w:rFonts w:ascii="Calibri" w:eastAsia="Calibri" w:hAnsi="Calibri" w:cs="Calibri"/>
          <w:sz w:val="20"/>
          <w:szCs w:val="20"/>
        </w:rPr>
        <w:t>, zahtevano je da se dokaže ispunjenost j</w:t>
      </w:r>
      <w:r w:rsidRPr="001F55F6">
        <w:rPr>
          <w:rFonts w:ascii="Calibri" w:eastAsia="Calibri" w:hAnsi="Calibri" w:cs="Calibri"/>
          <w:sz w:val="20"/>
          <w:szCs w:val="20"/>
        </w:rPr>
        <w:t>ednog od uslova (tehnički i stručni kapacitet i to "Spisak lokacija (tabela ili katalog, overen od strane privrednog subjekta ili drugi odgovarajući dokument iz kojeg se može utvrditi ispunjenost uslova), putem Portala, na šta je prvorangirani ponuđač odgo</w:t>
      </w:r>
      <w:r w:rsidRPr="001F55F6">
        <w:rPr>
          <w:rFonts w:ascii="Calibri" w:eastAsia="Calibri" w:hAnsi="Calibri" w:cs="Calibri"/>
          <w:sz w:val="20"/>
          <w:szCs w:val="20"/>
        </w:rPr>
        <w:t>vorio i dokazao da ispunjava navedeni uslov, dostavljanjem dokaza putem Portala javnih nabavki.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992EED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992EED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3" w:name="8"/>
      <w:bookmarkEnd w:id="1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730B1B">
        <w:trPr>
          <w:trHeight w:val="163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rPr>
          <w:trHeight w:val="436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730B1B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rPr>
          <w:trHeight w:val="19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rPr>
          <w:trHeight w:val="340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730B1B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08.12.2020 14:23:39</w:t>
                  </w: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rPr>
          <w:trHeight w:val="120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730B1B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Usluga postavljanja reklamnog materijala i zakup reklamnog prostora u cilju promocije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bezbednosti saobraćaja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OP-U-5/2020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1.666.666,00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730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31523100-Reklamna neonska svetla</w:t>
                  </w:r>
                </w:p>
              </w:tc>
            </w:tr>
            <w:tr w:rsidR="00730B1B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Nabavka se sprovodi radi obavljanja redovnih aktivnosti utvrđenih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Predlogom programa korišćenja sredstava za finansiranje unapređenja bezbednosti saobraćaja na putevima na teritoriji Grada Novog Sada za 2020.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godinu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, čije je finansiranje propisano Zakonom o bezbednosti saobraćaja na putevima ("Službeni glasnik RS", br. 4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1/09, 53/10, 101/11, 32/13 - Odluka US, 55/14, 96/15 - dr. Zakon i 9/16 - Odluka US, 24/18, 41/18 i 41/18 - dr. Zakon, 87/18 i 23/19). Procenjena vrednost je utvrđenja uvidom u aktuelne cene različitih ponuđača preko interneta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,računajući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i procenu porasta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cena na tržištu kao i na osnovu iskustvenih pokazatelja iz predhodnih godina, a koje se odnose na usluge postavljanja reklamnog materijala i zakup reklamnog prostora u cilju promocije bezbednosti saobraćaja.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730B1B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Obrazloženje zašto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Predmet javne nabavke nije oblikovan po partijama.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F02-0007250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28.11.2020</w:t>
                  </w:r>
                </w:p>
              </w:tc>
            </w:tr>
            <w:tr w:rsidR="00730B1B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08.12.2020 09:00:00</w:t>
                  </w: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0B1B">
        <w:trPr>
          <w:trHeight w:val="295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730B1B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30B1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Ime i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prezime</w:t>
                  </w: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0B1B">
        <w:trPr>
          <w:trHeight w:val="198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730B1B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30B1B">
              <w:trPr>
                <w:trHeight w:val="119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730B1B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730B1B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B1B">
                    <w:trPr>
                      <w:trHeight w:val="6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30B1B" w:rsidRDefault="00730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0B1B">
        <w:trPr>
          <w:trHeight w:val="193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730B1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30B1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08.12.2020 09:30:00</w:t>
                  </w:r>
                </w:p>
              </w:tc>
            </w:tr>
            <w:tr w:rsidR="00730B1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08.12.2020 09:30:06</w:t>
                  </w:r>
                </w:p>
              </w:tc>
            </w:tr>
            <w:tr w:rsidR="00730B1B">
              <w:trPr>
                <w:trHeight w:val="19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730B1B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2"/>
                          <w:gridCol w:w="11583"/>
                        </w:tblGrid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B1B"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2"/>
                          <w:gridCol w:w="2248"/>
                          <w:gridCol w:w="2222"/>
                          <w:gridCol w:w="1400"/>
                          <w:gridCol w:w="2843"/>
                        </w:tblGrid>
                        <w:tr w:rsidR="00730B1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MAXIM &amp; CO NOVI SAD, Bulevar Mihajla Pupina, 9,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113/20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30.11.2020. 10:38:20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730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730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730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B1B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30B1B" w:rsidRDefault="00730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0B1B">
        <w:trPr>
          <w:trHeight w:val="481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730B1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30B1B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8298"/>
                    <w:gridCol w:w="7036"/>
                  </w:tblGrid>
                  <w:tr w:rsidR="00730B1B"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31"/>
                          <w:gridCol w:w="1131"/>
                          <w:gridCol w:w="1122"/>
                          <w:gridCol w:w="1131"/>
                          <w:gridCol w:w="1124"/>
                        </w:tblGrid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730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MAXIM &amp; CO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100% u roku od 45 dana od dana dostavljanja ispravne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profakture, a u skladu sa Modelom ugovora.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rPr>
                      <w:trHeight w:val="39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30B1B" w:rsidRDefault="00730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0B1B">
        <w:trPr>
          <w:trHeight w:val="128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730B1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730B1B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8298"/>
                    <w:gridCol w:w="7036"/>
                  </w:tblGrid>
                  <w:tr w:rsidR="00730B1B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31"/>
                          <w:gridCol w:w="1131"/>
                          <w:gridCol w:w="1122"/>
                          <w:gridCol w:w="1131"/>
                          <w:gridCol w:w="1124"/>
                        </w:tblGrid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730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MAXIM &amp; CO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100% u roku od 45 dana od dana dostavljanja ispravne profakture, a u skladu sa Modelom ugovora.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rPr>
                      <w:trHeight w:val="33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30B1B" w:rsidRDefault="00730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rPr>
          <w:trHeight w:val="148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730B1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730B1B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730B1B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4476"/>
                          <w:gridCol w:w="2605"/>
                          <w:gridCol w:w="2308"/>
                          <w:gridCol w:w="1410"/>
                        </w:tblGrid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DOO MAXIM &amp; CO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NOVI SAD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1.660.000,00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1.992.000,00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je dostavio sve izjave i obrasce koji su zahtevani konkursnom dokumentacijom, čime je dokazao da ispunjava zahtevane ulove.</w:t>
                              </w: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30B1B" w:rsidRDefault="00730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0B1B">
        <w:trPr>
          <w:trHeight w:val="930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30B1B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730B1B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0B1B" w:rsidRDefault="00992EE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Rangiranje ponuda i predlog izbora /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obustave</w:t>
                  </w:r>
                </w:p>
              </w:tc>
            </w:tr>
            <w:tr w:rsidR="00730B1B">
              <w:trPr>
                <w:trHeight w:val="359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730B1B"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7"/>
                        </w:tblGrid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30B1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730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30B1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730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0B1B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1"/>
                          <w:gridCol w:w="1613"/>
                          <w:gridCol w:w="7289"/>
                          <w:gridCol w:w="1894"/>
                        </w:tblGrid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MAXIM &amp; CO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1,660,000.00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730B1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B1B" w:rsidRDefault="00992EE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broj 113/20 od 30.11.2020.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godine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, koju je podneo ponuđač „Maxim &amp; Co“ doo, Bulevar Mihajla Pupina 9, Novi Sad, je prihvatljiva. Konstatuje se da su putem portala dostavljene sve izjave i obrasci koji su predviđeni konkursnom 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okumentacijom. Konstatuje se da je ponuđena cena privrednog subjekta niža od procenjene vrednosti javne nabavke, te je ponuda pivrednog subjekta (Dobavljača) jedina i prihvatljiva. </w:t>
                              </w:r>
                            </w:p>
                          </w:tc>
                        </w:tr>
                      </w:tbl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30B1B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30B1B" w:rsidRDefault="00730B1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30B1B" w:rsidRDefault="00730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0B1B">
        <w:trPr>
          <w:trHeight w:val="3959"/>
        </w:trPr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30B1B" w:rsidRDefault="00730B1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30B1B" w:rsidRDefault="00730B1B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730B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ED" w:rsidRDefault="00992EED">
      <w:pPr>
        <w:spacing w:before="0" w:after="0"/>
      </w:pPr>
      <w:r>
        <w:separator/>
      </w:r>
    </w:p>
  </w:endnote>
  <w:endnote w:type="continuationSeparator" w:id="0">
    <w:p w:rsidR="00992EED" w:rsidRDefault="00992E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992EE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040F5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ED" w:rsidRDefault="00992EED">
      <w:pPr>
        <w:spacing w:before="0" w:after="0"/>
      </w:pPr>
      <w:r>
        <w:separator/>
      </w:r>
    </w:p>
  </w:footnote>
  <w:footnote w:type="continuationSeparator" w:id="0">
    <w:p w:rsidR="00992EED" w:rsidRDefault="00992E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1B" w:rsidRDefault="00730B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40F55"/>
    <w:rsid w:val="00064642"/>
    <w:rsid w:val="00087A93"/>
    <w:rsid w:val="00092830"/>
    <w:rsid w:val="000A667E"/>
    <w:rsid w:val="000F6975"/>
    <w:rsid w:val="00165E99"/>
    <w:rsid w:val="001B4006"/>
    <w:rsid w:val="001F27FD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30B1B"/>
    <w:rsid w:val="007500EB"/>
    <w:rsid w:val="007B33EC"/>
    <w:rsid w:val="00910CBD"/>
    <w:rsid w:val="00934E20"/>
    <w:rsid w:val="00943D6F"/>
    <w:rsid w:val="00992EED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Suzana Savic</cp:lastModifiedBy>
  <cp:revision>2</cp:revision>
  <dcterms:created xsi:type="dcterms:W3CDTF">2020-12-08T13:24:00Z</dcterms:created>
  <dcterms:modified xsi:type="dcterms:W3CDTF">2020-12-08T13:24:00Z</dcterms:modified>
</cp:coreProperties>
</file>