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583" w:rsidRDefault="002F2583" w:rsidP="002F2583">
      <w:pPr>
        <w:pStyle w:val="Heading2"/>
        <w:rPr>
          <w:lang w:val="sr-Cyrl-RS"/>
        </w:rPr>
      </w:pPr>
      <w:bookmarkStart w:id="0" w:name="_Ref373844692"/>
      <w:r w:rsidRPr="00E52F95">
        <w:t xml:space="preserve"> СПЕЦИФИКАЦИЈА</w:t>
      </w:r>
      <w:bookmarkEnd w:id="0"/>
    </w:p>
    <w:p w:rsidR="002F2583" w:rsidRPr="007A4AA0" w:rsidRDefault="002F2583" w:rsidP="002F2583">
      <w:pPr>
        <w:pStyle w:val="NormalWeb"/>
        <w:spacing w:before="0" w:beforeAutospacing="0" w:after="0" w:afterAutospacing="0"/>
        <w:jc w:val="center"/>
        <w:rPr>
          <w:color w:val="000000"/>
          <w:lang w:val="sr-Cyrl-RS"/>
        </w:rPr>
      </w:pPr>
      <w:r>
        <w:rPr>
          <w:color w:val="000000"/>
          <w:lang w:val="sr-Cyrl-CS"/>
        </w:rPr>
        <w:t xml:space="preserve">ЗА </w:t>
      </w:r>
      <w:r w:rsidRPr="00E52F95">
        <w:rPr>
          <w:color w:val="000000"/>
          <w:lang w:val="sr-Cyrl-CS"/>
        </w:rPr>
        <w:t>ЈАВН</w:t>
      </w:r>
      <w:r>
        <w:rPr>
          <w:color w:val="000000"/>
          <w:lang w:val="sr-Cyrl-CS"/>
        </w:rPr>
        <w:t>У НАБАВКУ</w:t>
      </w:r>
      <w:r w:rsidRPr="00E52F95">
        <w:rPr>
          <w:color w:val="000000"/>
          <w:lang w:val="sr-Cyrl-CS"/>
        </w:rPr>
        <w:t xml:space="preserve"> </w:t>
      </w:r>
      <w:r>
        <w:rPr>
          <w:color w:val="000000"/>
          <w:lang w:val="sr-Cyrl-RS"/>
        </w:rPr>
        <w:t>УСЛУГ</w:t>
      </w:r>
      <w:r>
        <w:rPr>
          <w:color w:val="000000"/>
        </w:rPr>
        <w:t>E</w:t>
      </w:r>
      <w:r w:rsidRPr="00E52F95">
        <w:rPr>
          <w:color w:val="000000"/>
          <w:lang w:val="sr-Cyrl-RS"/>
        </w:rPr>
        <w:t xml:space="preserve">  </w:t>
      </w:r>
      <w:r w:rsidR="007A4AA0">
        <w:rPr>
          <w:color w:val="000000"/>
          <w:lang w:val="sr-Cyrl-RS"/>
        </w:rPr>
        <w:t>ТЕХНИЧКО ОПРЕМАЊЕ ЈЕДИНИЦА САОБРАЋАЈНЕ ПОЛИЦИЈЕ ПУ НОВИ САД</w:t>
      </w:r>
    </w:p>
    <w:p w:rsidR="002F2583" w:rsidRDefault="002F2583" w:rsidP="002F2583">
      <w:pPr>
        <w:widowControl w:val="0"/>
        <w:suppressAutoHyphens/>
        <w:jc w:val="both"/>
        <w:rPr>
          <w:rFonts w:eastAsia="Lucida Sans Unicode" w:cs="Mangal"/>
          <w:kern w:val="1"/>
          <w:lang w:val="sr-Cyrl-RS" w:eastAsia="hi-IN" w:bidi="hi-IN"/>
        </w:rPr>
      </w:pPr>
    </w:p>
    <w:p w:rsidR="007A4AA0" w:rsidRPr="001D7A7B" w:rsidRDefault="007A4AA0" w:rsidP="007A4AA0">
      <w:pPr>
        <w:tabs>
          <w:tab w:val="left" w:pos="708"/>
          <w:tab w:val="left" w:pos="4320"/>
        </w:tabs>
        <w:jc w:val="both"/>
        <w:rPr>
          <w:rStyle w:val="Emphasis"/>
          <w:rFonts w:cs="Arial"/>
          <w:b/>
          <w:i w:val="0"/>
          <w:sz w:val="22"/>
          <w:szCs w:val="22"/>
          <w:lang w:val="sr-Cyrl-RS"/>
        </w:rPr>
      </w:pPr>
      <w:r w:rsidRPr="001D7A7B">
        <w:rPr>
          <w:rStyle w:val="Emphasis"/>
          <w:rFonts w:cs="Arial"/>
          <w:b/>
          <w:sz w:val="22"/>
          <w:szCs w:val="22"/>
          <w:lang w:val="sr-Cyrl-RS"/>
        </w:rPr>
        <w:t>ТАБЕЛА: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2981"/>
        <w:gridCol w:w="1159"/>
        <w:gridCol w:w="1314"/>
        <w:gridCol w:w="1154"/>
        <w:gridCol w:w="1000"/>
        <w:gridCol w:w="1000"/>
      </w:tblGrid>
      <w:tr w:rsidR="007A4AA0" w:rsidRPr="00F3566D" w:rsidTr="00F457AF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F3566D" w:rsidRDefault="007A4AA0" w:rsidP="00F457AF">
            <w:pPr>
              <w:rPr>
                <w:lang w:val="sr-Cyrl-CS"/>
              </w:rPr>
            </w:pPr>
            <w:r w:rsidRPr="00F3566D">
              <w:rPr>
                <w:lang w:val="sr-Cyrl-CS"/>
              </w:rPr>
              <w:t>Редни број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F6331E" w:rsidRDefault="007A4AA0" w:rsidP="00F457AF">
            <w:pPr>
              <w:rPr>
                <w:lang w:val="sr-Cyrl-CS"/>
              </w:rPr>
            </w:pPr>
            <w:r>
              <w:rPr>
                <w:lang w:val="sr-Cyrl-CS"/>
              </w:rPr>
              <w:t>НАЗИВ ДОБАРА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F6331E" w:rsidRDefault="007A4AA0" w:rsidP="00F457AF">
            <w:pPr>
              <w:rPr>
                <w:lang w:val="sr-Cyrl-CS"/>
              </w:rPr>
            </w:pPr>
            <w:r w:rsidRPr="00F6331E">
              <w:rPr>
                <w:lang w:val="sr-Cyrl-CS"/>
              </w:rPr>
              <w:t>Јединица мере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F6331E" w:rsidRDefault="007A4AA0" w:rsidP="00F457AF">
            <w:pPr>
              <w:rPr>
                <w:lang w:val="sr-Cyrl-CS"/>
              </w:rPr>
            </w:pPr>
            <w:r w:rsidRPr="00F6331E">
              <w:rPr>
                <w:lang w:val="sr-Cyrl-CS"/>
              </w:rPr>
              <w:t>Количина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A0" w:rsidRPr="00F3566D" w:rsidRDefault="007A4AA0" w:rsidP="00F457AF">
            <w:pPr>
              <w:rPr>
                <w:lang w:val="sr-Cyrl-CS"/>
              </w:rPr>
            </w:pPr>
            <w:r w:rsidRPr="00F3566D">
              <w:rPr>
                <w:lang w:val="sr-Cyrl-CS"/>
              </w:rPr>
              <w:t>Цена по јединици без пдв-а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A0" w:rsidRPr="00F3566D" w:rsidRDefault="007A4AA0" w:rsidP="00F457AF">
            <w:pPr>
              <w:rPr>
                <w:lang w:val="sr-Cyrl-CS"/>
              </w:rPr>
            </w:pPr>
            <w:r w:rsidRPr="00F3566D">
              <w:rPr>
                <w:lang w:val="sr-Cyrl-CS"/>
              </w:rPr>
              <w:t>Укупно без пдв-а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A0" w:rsidRPr="00F3566D" w:rsidRDefault="007A4AA0" w:rsidP="00F457AF">
            <w:pPr>
              <w:rPr>
                <w:lang w:val="sr-Cyrl-CS"/>
              </w:rPr>
            </w:pPr>
            <w:r>
              <w:rPr>
                <w:lang w:val="sr-Cyrl-CS"/>
              </w:rPr>
              <w:t>Укупно са пдв-ом</w:t>
            </w:r>
          </w:p>
        </w:tc>
      </w:tr>
      <w:tr w:rsidR="007A4AA0" w:rsidRPr="00F3566D" w:rsidTr="00F457AF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AA0" w:rsidRPr="00F3566D" w:rsidRDefault="007A4AA0" w:rsidP="00F457AF">
            <w:pPr>
              <w:jc w:val="center"/>
              <w:rPr>
                <w:lang w:val="sr-Cyrl-CS"/>
              </w:rPr>
            </w:pPr>
            <w:r w:rsidRPr="00F3566D">
              <w:rPr>
                <w:lang w:val="sr-Cyrl-CS"/>
              </w:rPr>
              <w:t>1.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A0" w:rsidRPr="001316D4" w:rsidRDefault="007A4AA0" w:rsidP="00F457AF">
            <w:pPr>
              <w:rPr>
                <w:lang w:val="sr-Cyrl-RS"/>
              </w:rPr>
            </w:pPr>
            <w:proofErr w:type="spellStart"/>
            <w:r>
              <w:t>Фотоапарат</w:t>
            </w:r>
            <w:proofErr w:type="spell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AA0" w:rsidRPr="00F6331E" w:rsidRDefault="007A4AA0" w:rsidP="00F457AF">
            <w:pPr>
              <w:jc w:val="center"/>
              <w:rPr>
                <w:lang w:val="sr-Cyrl-RS"/>
              </w:rPr>
            </w:pPr>
            <w:r w:rsidRPr="00F6331E">
              <w:rPr>
                <w:lang w:val="sr-Cyrl-RS"/>
              </w:rPr>
              <w:t>Комад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AA0" w:rsidRPr="00F6331E" w:rsidRDefault="007A4AA0" w:rsidP="00F457A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A0" w:rsidRPr="00F3566D" w:rsidRDefault="007A4AA0" w:rsidP="00F457AF">
            <w:pPr>
              <w:jc w:val="center"/>
              <w:rPr>
                <w:lang w:val="sr-Cyrl-C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A0" w:rsidRPr="00F3566D" w:rsidRDefault="007A4AA0" w:rsidP="00F457AF">
            <w:pPr>
              <w:jc w:val="center"/>
              <w:rPr>
                <w:lang w:val="sr-Cyrl-C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A0" w:rsidRPr="00F3566D" w:rsidRDefault="007A4AA0" w:rsidP="00F457AF">
            <w:pPr>
              <w:jc w:val="center"/>
              <w:rPr>
                <w:lang w:val="sr-Cyrl-CS"/>
              </w:rPr>
            </w:pPr>
          </w:p>
        </w:tc>
      </w:tr>
      <w:tr w:rsidR="007A4AA0" w:rsidRPr="00F3566D" w:rsidTr="00F457AF">
        <w:tc>
          <w:tcPr>
            <w:tcW w:w="6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AA0" w:rsidRPr="00F3566D" w:rsidRDefault="007A4AA0" w:rsidP="00F457AF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УКУПНО БЕЗ ПДВ-А: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A0" w:rsidRPr="00F3566D" w:rsidRDefault="007A4AA0" w:rsidP="00F457AF">
            <w:pPr>
              <w:jc w:val="center"/>
              <w:rPr>
                <w:lang w:val="sr-Cyrl-CS"/>
              </w:rPr>
            </w:pPr>
          </w:p>
        </w:tc>
      </w:tr>
      <w:tr w:rsidR="007A4AA0" w:rsidRPr="00F3566D" w:rsidTr="00F457AF">
        <w:tc>
          <w:tcPr>
            <w:tcW w:w="6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AA0" w:rsidRPr="00F3566D" w:rsidRDefault="007A4AA0" w:rsidP="00F457AF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ПДВ: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A0" w:rsidRPr="00F3566D" w:rsidRDefault="007A4AA0" w:rsidP="00F457AF">
            <w:pPr>
              <w:jc w:val="center"/>
              <w:rPr>
                <w:lang w:val="sr-Cyrl-CS"/>
              </w:rPr>
            </w:pPr>
          </w:p>
        </w:tc>
      </w:tr>
      <w:tr w:rsidR="007A4AA0" w:rsidRPr="00F3566D" w:rsidTr="00F457AF">
        <w:tc>
          <w:tcPr>
            <w:tcW w:w="6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AA0" w:rsidRPr="00F3566D" w:rsidRDefault="007A4AA0" w:rsidP="00F457AF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УКУПНО СА ПДВ-ОМ: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A0" w:rsidRPr="00F3566D" w:rsidRDefault="007A4AA0" w:rsidP="00F457AF">
            <w:pPr>
              <w:jc w:val="center"/>
              <w:rPr>
                <w:lang w:val="sr-Cyrl-CS"/>
              </w:rPr>
            </w:pPr>
          </w:p>
        </w:tc>
      </w:tr>
    </w:tbl>
    <w:p w:rsidR="00772920" w:rsidRDefault="00772920" w:rsidP="007A4AA0"/>
    <w:p w:rsidR="00772920" w:rsidRDefault="00772920" w:rsidP="007A4AA0"/>
    <w:p w:rsidR="007A4AA0" w:rsidRDefault="007A4AA0" w:rsidP="007A4AA0">
      <w:pPr>
        <w:rPr>
          <w:lang w:val="sr-Cyrl-CS"/>
        </w:rPr>
      </w:pPr>
      <w:bookmarkStart w:id="1" w:name="_GoBack"/>
      <w:bookmarkEnd w:id="1"/>
      <w:r>
        <w:rPr>
          <w:lang w:val="sr-Cyrl-CS"/>
        </w:rPr>
        <w:t>ОПИС И КАРАКТЕРИСТИКЕ ПОТРЕБНИХ ДОБАРА:</w:t>
      </w:r>
    </w:p>
    <w:tbl>
      <w:tblPr>
        <w:tblW w:w="8840" w:type="dxa"/>
        <w:tblInd w:w="93" w:type="dxa"/>
        <w:tblLook w:val="04A0" w:firstRow="1" w:lastRow="0" w:firstColumn="1" w:lastColumn="0" w:noHBand="0" w:noVBand="1"/>
      </w:tblPr>
      <w:tblGrid>
        <w:gridCol w:w="2460"/>
        <w:gridCol w:w="6380"/>
      </w:tblGrid>
      <w:tr w:rsidR="007A4AA0" w:rsidRPr="001316D4" w:rsidTr="00F457AF">
        <w:trPr>
          <w:trHeight w:val="6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/>
              </w:rPr>
              <w:t>Дигитални фотоапарат са додатном опремом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sr-Cyrl-RS"/>
              </w:rPr>
              <w:t>Минималне техничке карактеристике</w:t>
            </w:r>
          </w:p>
        </w:tc>
      </w:tr>
      <w:tr w:rsidR="007A4AA0" w:rsidRPr="001316D4" w:rsidTr="00F457AF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фотографија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min. 24.78 MP</w:t>
            </w:r>
          </w:p>
        </w:tc>
      </w:tr>
      <w:tr w:rsidR="007A4AA0" w:rsidRPr="001316D4" w:rsidTr="00F457AF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ISO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осетиљивост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min. 100-25.600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доступна аутоматска контрола осетљивости</w:t>
            </w:r>
          </w:p>
        </w:tc>
      </w:tr>
      <w:tr w:rsidR="007A4AA0" w:rsidRPr="001316D4" w:rsidTr="00F457AF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видео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FULL HD H.264/MPEG-4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напредно кодирање видео записа</w:t>
            </w:r>
          </w:p>
        </w:tc>
      </w:tr>
      <w:tr w:rsidR="007A4AA0" w:rsidRPr="001316D4" w:rsidTr="00F457AF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видео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фајл формат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MOV</w:t>
            </w:r>
          </w:p>
        </w:tc>
      </w:tr>
      <w:tr w:rsidR="007A4AA0" w:rsidRPr="001316D4" w:rsidTr="00F457AF">
        <w:trPr>
          <w:trHeight w:val="6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Филм – величина слике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min. 1920 x 1080: 60p (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прогресивно скенирање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), 50p, 30p, 25p, 24p; 1280 x 720: 60p, 50p; </w:t>
            </w:r>
          </w:p>
        </w:tc>
      </w:tr>
      <w:tr w:rsidR="007A4AA0" w:rsidRPr="001316D4" w:rsidTr="00F457AF">
        <w:trPr>
          <w:trHeight w:val="9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Број слика у секунди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Стваран број слика у секунди за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60p, 50p, 30p, 25p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24p je 59,94, 50, 29,97, 25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23,976 fps,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тим редом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;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опције подржавају и висок и нормалан квалитет слике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7A4AA0" w:rsidRPr="001316D4" w:rsidTr="00F457AF">
        <w:trPr>
          <w:trHeight w:val="9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аутофокус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Модел са сензором за аутофокус са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TTL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детекцијом фазе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, 11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тачака фокуса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укључујући унакрсни сензор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AF-assist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осветљивачем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опсег прибл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. od 0,5 do 3 m)</w:t>
            </w:r>
          </w:p>
        </w:tc>
      </w:tr>
      <w:tr w:rsidR="007A4AA0" w:rsidRPr="001316D4" w:rsidTr="00F457AF">
        <w:trPr>
          <w:trHeight w:val="9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екран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proofErr w:type="gramStart"/>
            <w:r w:rsidRPr="001316D4">
              <w:rPr>
                <w:rFonts w:ascii="Calibri" w:hAnsi="Calibri"/>
                <w:sz w:val="22"/>
                <w:szCs w:val="22"/>
              </w:rPr>
              <w:t>min</w:t>
            </w:r>
            <w:proofErr w:type="gramEnd"/>
            <w:r w:rsidRPr="001316D4">
              <w:rPr>
                <w:rFonts w:ascii="Calibri" w:hAnsi="Calibri"/>
                <w:sz w:val="22"/>
                <w:szCs w:val="22"/>
              </w:rPr>
              <w:t>.</w:t>
            </w:r>
            <w:r w:rsidRPr="001316D4">
              <w:rPr>
                <w:rFonts w:ascii="Calibri" w:hAnsi="Calibri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Dijagonala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od 7,5 cm (3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inča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); TFT LCD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екран са углом гледања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od 170˚,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pribl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. 100%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покривања слике и подешавањем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Pribl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. 921.000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тачака</w:t>
            </w:r>
          </w:p>
        </w:tc>
      </w:tr>
      <w:tr w:rsidR="007A4AA0" w:rsidRPr="001316D4" w:rsidTr="00F457AF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блиц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да</w:t>
            </w:r>
          </w:p>
        </w:tc>
      </w:tr>
      <w:tr w:rsidR="007A4AA0" w:rsidRPr="001316D4" w:rsidTr="00F457AF">
        <w:trPr>
          <w:trHeight w:val="15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Контрола блица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TTL: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-TTL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контрола блица коришћењем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RGB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сензора од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420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пиксела је доступна са уграђеним блицем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-TTL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 xml:space="preserve">и балансирани 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флеш за дигиталне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SLR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 xml:space="preserve">фотоапарате се користи са 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matrix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мерењем и мерењем са приоритетом центра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стандардни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-TTL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блиц за дигиталне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SLR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фотоапарате са спот мерењем</w:t>
            </w:r>
          </w:p>
        </w:tc>
      </w:tr>
      <w:tr w:rsidR="007A4AA0" w:rsidRPr="001316D4" w:rsidTr="00F457AF">
        <w:trPr>
          <w:trHeight w:val="9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Меморија складиштења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min. SD, SDHC (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у складу са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UHS-I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стандардом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), SDXC (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у складу са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UHS-I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standardom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),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уз апарат испоручити картицу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од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min. 16GB, Class 10 UHS-I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подржана брзина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min. 80MB/s</w:t>
            </w:r>
          </w:p>
        </w:tc>
      </w:tr>
      <w:tr w:rsidR="007A4AA0" w:rsidRPr="001316D4" w:rsidTr="00F457AF">
        <w:trPr>
          <w:trHeight w:val="9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lastRenderedPageBreak/>
              <w:t>Прикључци и повезивање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min. USB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велике брзине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sa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micro-USB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конектором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, HDMI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konektor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tipa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C, Bluetooth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спецификације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–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верзија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4.1,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подржка за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Bluetooth Low Energy</w:t>
            </w:r>
          </w:p>
        </w:tc>
      </w:tr>
      <w:tr w:rsidR="007A4AA0" w:rsidRPr="001316D4" w:rsidTr="00F457AF">
        <w:trPr>
          <w:trHeight w:val="27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Објектив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Жижна даљина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18-140mm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Отвор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blende 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maks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. f/3.5-5.6, min. f/22-38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Конструкција објектива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: 17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елемената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u 12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група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(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укључујући један елемент објектива од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ED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стакла и једно асферично сочиво</w:t>
            </w:r>
            <w:proofErr w:type="gram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  <w:proofErr w:type="gram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Видни угао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: 76° - 11°30′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Min.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раздаљина фокуса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: 0,45 m od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жижне равни при свим положајима зума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Maks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Увећање слике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: 0.23x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Број ламелица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бленде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: 7(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заобљени отвор бленде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</w:tr>
      <w:tr w:rsidR="007A4AA0" w:rsidRPr="001316D4" w:rsidTr="00F457AF">
        <w:trPr>
          <w:trHeight w:val="27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UV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филтер систем са држачем, адаптером сочива и поклопцем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одговарајући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UV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филтер за објектив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, 10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слојева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антирефлективни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водоодбојни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пропусност светла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99%.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 xml:space="preserve">Систем се састоји од држача филтера и адаптера за сочива који се магнетно спаја са адаптеројм дајући могућност да 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UV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 xml:space="preserve"> филтер инстант монтира на сочиво у било којој оријентацији. 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 xml:space="preserve">Испоручити и поклопац који се монтира на адаптер сочива. Систем је без покретних делова и монтира се без било каквог додатног алата. </w:t>
            </w:r>
          </w:p>
        </w:tc>
      </w:tr>
      <w:tr w:rsidR="007A4AA0" w:rsidRPr="001316D4" w:rsidTr="00F457AF">
        <w:trPr>
          <w:trHeight w:val="6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Пуњење и батерија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Једна пуњива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Li-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jonska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батерија коју је потребно испоручити уз уређај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7A4AA0" w:rsidRPr="001316D4" w:rsidTr="00F457AF">
        <w:trPr>
          <w:trHeight w:val="6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Обим испоруке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Каиш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 xml:space="preserve">Гумени штитник окулара 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добија се причвршћен на фотоапарат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Поклопац тела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Пуњива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Li-</w:t>
            </w:r>
            <w:proofErr w:type="spellStart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>jonska</w:t>
            </w:r>
            <w:proofErr w:type="spellEnd"/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батерија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пуњач батерије</w:t>
            </w:r>
          </w:p>
        </w:tc>
      </w:tr>
      <w:tr w:rsidR="007A4AA0" w:rsidRPr="001316D4" w:rsidTr="00F457AF">
        <w:trPr>
          <w:trHeight w:val="15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Торба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AA0" w:rsidRPr="001316D4" w:rsidRDefault="007A4AA0" w:rsidP="00F457AF">
            <w:pP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 xml:space="preserve">Да, качење преко рамена, могуће спаковати апарат са објективом, додатни објектив или блиц, меморијске картице, разне додатке. Мин. унутрашње димензије 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17x17x17cm, max,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спољашне димензије</w:t>
            </w:r>
            <w:r w:rsidRPr="001316D4">
              <w:rPr>
                <w:rFonts w:ascii="Calibri" w:hAnsi="Calibri"/>
                <w:color w:val="000000"/>
                <w:sz w:val="22"/>
                <w:szCs w:val="22"/>
              </w:rPr>
              <w:t xml:space="preserve"> 21x17x22cm. </w:t>
            </w:r>
            <w:r>
              <w:rPr>
                <w:rFonts w:ascii="Calibri" w:hAnsi="Calibri"/>
                <w:color w:val="000000"/>
                <w:sz w:val="22"/>
                <w:szCs w:val="22"/>
                <w:lang w:val="sr-Cyrl-RS"/>
              </w:rPr>
              <w:t>Торба поседује кабаницу због заштите од кише.</w:t>
            </w:r>
          </w:p>
        </w:tc>
      </w:tr>
    </w:tbl>
    <w:p w:rsidR="007A4AA0" w:rsidRPr="00224533" w:rsidRDefault="007A4AA0" w:rsidP="007A4AA0">
      <w:pPr>
        <w:tabs>
          <w:tab w:val="left" w:pos="708"/>
          <w:tab w:val="left" w:pos="4320"/>
        </w:tabs>
        <w:jc w:val="both"/>
        <w:rPr>
          <w:i/>
          <w:lang w:val="sr-Cyrl-CS"/>
        </w:rPr>
      </w:pPr>
      <w:r>
        <w:rPr>
          <w:i/>
          <w:lang w:val="sr-Cyrl-CS"/>
        </w:rPr>
        <w:t>Напомена: Исказане тражене карактеристике су минималне карактеристике које понуђач може да понуди (сем за ставке где су наведене максималне карактеристике). Потребно је обезбедити наведено или одговарајуће, са доказом да је одговарајуће.</w:t>
      </w:r>
    </w:p>
    <w:p w:rsidR="007A4AA0" w:rsidRDefault="007A4AA0" w:rsidP="007A4AA0">
      <w:pPr>
        <w:rPr>
          <w:lang w:val="sr-Cyrl-RS"/>
        </w:rPr>
      </w:pPr>
    </w:p>
    <w:p w:rsidR="007A4AA0" w:rsidRDefault="007A4AA0" w:rsidP="007A4AA0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Гарантни рок за за наведена добра која су предмет набавке мора бити најмање 36 месеци од дана потписивања Записника о квалитативном и квантитативном пријему добара.</w:t>
      </w:r>
    </w:p>
    <w:p w:rsidR="007A4AA0" w:rsidRDefault="007A4AA0" w:rsidP="007A4AA0">
      <w:pPr>
        <w:rPr>
          <w:sz w:val="22"/>
          <w:szCs w:val="22"/>
          <w:lang w:val="sr-Cyrl-RS"/>
        </w:rPr>
      </w:pPr>
    </w:p>
    <w:p w:rsidR="007A4AA0" w:rsidRDefault="007A4AA0" w:rsidP="007A4AA0">
      <w:pPr>
        <w:tabs>
          <w:tab w:val="left" w:pos="708"/>
          <w:tab w:val="left" w:pos="4320"/>
        </w:tabs>
        <w:jc w:val="both"/>
        <w:rPr>
          <w:rStyle w:val="Emphasis"/>
          <w:rFonts w:cs="Arial"/>
          <w:i w:val="0"/>
          <w:sz w:val="22"/>
          <w:szCs w:val="22"/>
          <w:lang w:val="sr-Cyrl-RS"/>
        </w:rPr>
      </w:pPr>
      <w:r>
        <w:rPr>
          <w:rStyle w:val="Emphasis"/>
          <w:rFonts w:cs="Arial"/>
          <w:sz w:val="22"/>
          <w:szCs w:val="22"/>
          <w:lang w:val="sr-Cyrl-RS"/>
        </w:rPr>
        <w:t xml:space="preserve">Добављач је дужан да се у току гарантног рока одазове на позив олвашћеног лица Наручиоца, односно да преуме добро које је предмет поправке најкасније у року од </w:t>
      </w:r>
      <w:r>
        <w:rPr>
          <w:rStyle w:val="Emphasis"/>
          <w:rFonts w:cs="Arial"/>
          <w:b/>
          <w:sz w:val="22"/>
          <w:szCs w:val="22"/>
          <w:lang w:val="sr-Cyrl-RS"/>
        </w:rPr>
        <w:t xml:space="preserve">48 сати </w:t>
      </w:r>
      <w:r>
        <w:rPr>
          <w:rStyle w:val="Emphasis"/>
          <w:rFonts w:cs="Arial"/>
          <w:sz w:val="22"/>
          <w:szCs w:val="22"/>
        </w:rPr>
        <w:t xml:space="preserve"> </w:t>
      </w:r>
      <w:r>
        <w:rPr>
          <w:rStyle w:val="Emphasis"/>
          <w:rFonts w:cs="Arial"/>
          <w:sz w:val="22"/>
          <w:szCs w:val="22"/>
          <w:lang w:val="sr-Cyrl-RS"/>
        </w:rPr>
        <w:t>по пријему позива.</w:t>
      </w:r>
    </w:p>
    <w:p w:rsidR="007A4AA0" w:rsidRDefault="007A4AA0" w:rsidP="007A4AA0">
      <w:pPr>
        <w:tabs>
          <w:tab w:val="left" w:pos="708"/>
          <w:tab w:val="left" w:pos="4320"/>
        </w:tabs>
        <w:jc w:val="both"/>
        <w:rPr>
          <w:rStyle w:val="Emphasis"/>
          <w:rFonts w:cs="Arial"/>
          <w:i w:val="0"/>
          <w:sz w:val="22"/>
          <w:szCs w:val="22"/>
          <w:lang w:val="sr-Cyrl-RS"/>
        </w:rPr>
      </w:pPr>
    </w:p>
    <w:p w:rsidR="007A4AA0" w:rsidRPr="009B7C12" w:rsidRDefault="007A4AA0" w:rsidP="007A4AA0"/>
    <w:p w:rsidR="00036F4F" w:rsidRPr="002F2583" w:rsidRDefault="00036F4F" w:rsidP="002F2583">
      <w:pPr>
        <w:pStyle w:val="NoSpacing"/>
        <w:rPr>
          <w:rFonts w:ascii="Arial" w:hAnsi="Arial" w:cs="Arial"/>
        </w:rPr>
      </w:pPr>
    </w:p>
    <w:sectPr w:rsidR="00036F4F" w:rsidRPr="002F25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639A4"/>
    <w:multiLevelType w:val="hybridMultilevel"/>
    <w:tmpl w:val="FF482C6C"/>
    <w:lvl w:ilvl="0" w:tplc="3B9C3B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583"/>
    <w:rsid w:val="00036F4F"/>
    <w:rsid w:val="00253401"/>
    <w:rsid w:val="002F2583"/>
    <w:rsid w:val="003F3BA4"/>
    <w:rsid w:val="004C0A29"/>
    <w:rsid w:val="00556DFF"/>
    <w:rsid w:val="005A1A25"/>
    <w:rsid w:val="005F0AC8"/>
    <w:rsid w:val="00673EC7"/>
    <w:rsid w:val="00696A0E"/>
    <w:rsid w:val="006E7D0D"/>
    <w:rsid w:val="00772920"/>
    <w:rsid w:val="007A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2F2583"/>
    <w:pPr>
      <w:spacing w:before="120" w:after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258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2F258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rsid w:val="002F2583"/>
    <w:pPr>
      <w:spacing w:before="100" w:beforeAutospacing="1" w:after="100" w:afterAutospacing="1"/>
    </w:pPr>
  </w:style>
  <w:style w:type="character" w:styleId="Emphasis">
    <w:name w:val="Emphasis"/>
    <w:qFormat/>
    <w:rsid w:val="007A4A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2F2583"/>
    <w:pPr>
      <w:spacing w:before="120" w:after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258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2F258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rsid w:val="002F2583"/>
    <w:pPr>
      <w:spacing w:before="100" w:beforeAutospacing="1" w:after="100" w:afterAutospacing="1"/>
    </w:pPr>
  </w:style>
  <w:style w:type="character" w:styleId="Emphasis">
    <w:name w:val="Emphasis"/>
    <w:qFormat/>
    <w:rsid w:val="007A4A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Savic</dc:creator>
  <cp:lastModifiedBy>Suzana Savic</cp:lastModifiedBy>
  <cp:revision>12</cp:revision>
  <dcterms:created xsi:type="dcterms:W3CDTF">2020-11-23T13:41:00Z</dcterms:created>
  <dcterms:modified xsi:type="dcterms:W3CDTF">2020-12-02T11:14:00Z</dcterms:modified>
</cp:coreProperties>
</file>